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6FDB6" w14:textId="0030FDF0" w:rsidR="00654E88" w:rsidRPr="00740EC9" w:rsidRDefault="27959983" w:rsidP="00B259B7">
      <w:pPr>
        <w:jc w:val="both"/>
        <w:rPr>
          <w:b/>
          <w:bCs/>
          <w:sz w:val="40"/>
          <w:szCs w:val="40"/>
        </w:rPr>
      </w:pPr>
      <w:r w:rsidRPr="27959983">
        <w:rPr>
          <w:b/>
          <w:bCs/>
          <w:sz w:val="40"/>
          <w:szCs w:val="40"/>
        </w:rPr>
        <w:t>School Self-</w:t>
      </w:r>
      <w:r w:rsidR="0020700B">
        <w:rPr>
          <w:b/>
          <w:bCs/>
          <w:sz w:val="40"/>
          <w:szCs w:val="40"/>
        </w:rPr>
        <w:t>Evaluation Summary Report – 2018/19</w:t>
      </w:r>
    </w:p>
    <w:p w14:paraId="5F4346A4" w14:textId="53DD35E2" w:rsidR="009012D0" w:rsidRDefault="27959983" w:rsidP="00B259B7">
      <w:pPr>
        <w:jc w:val="both"/>
      </w:pPr>
      <w:r>
        <w:t>In the 1</w:t>
      </w:r>
      <w:r w:rsidRPr="27959983">
        <w:rPr>
          <w:vertAlign w:val="superscript"/>
        </w:rPr>
        <w:t>st</w:t>
      </w:r>
      <w:r>
        <w:t xml:space="preserve"> cycle of SSE St. Ailbe’s concentrated on Literacy, Numeracy and the use of the school journal. For the 2</w:t>
      </w:r>
      <w:r w:rsidRPr="27959983">
        <w:rPr>
          <w:vertAlign w:val="superscript"/>
        </w:rPr>
        <w:t>nd</w:t>
      </w:r>
      <w:r>
        <w:t xml:space="preserve"> cycle </w:t>
      </w:r>
      <w:r w:rsidR="00EF042C">
        <w:t xml:space="preserve">of SSE </w:t>
      </w:r>
      <w:r>
        <w:t>the school decided to continue with these themes and to improve educational attainment and improve organisation and delivery of SEN. It is recognised that these SSE themes are inextricably linked to DEIS planning and the implementation of the DEIS plan under the headings: Educational Attainment, Literacy, Numeracy, Retention, Progression, Attendance and External Links. St. Ailbe’s uses a range of information sources to guide the school through the process of self-evaluation. These sources include parent, student and staff surveys, oral feedback from students, record-keeping, state exam results etc. The following is a summary of progress to date in the 2</w:t>
      </w:r>
      <w:r w:rsidRPr="27959983">
        <w:rPr>
          <w:vertAlign w:val="superscript"/>
        </w:rPr>
        <w:t>nd</w:t>
      </w:r>
      <w:r>
        <w:t xml:space="preserve"> cycle. </w:t>
      </w:r>
    </w:p>
    <w:p w14:paraId="6868F8B7" w14:textId="53746FB3" w:rsidR="00D07392" w:rsidRDefault="00D07392" w:rsidP="00B259B7">
      <w:pPr>
        <w:jc w:val="both"/>
      </w:pPr>
    </w:p>
    <w:p w14:paraId="34EDFC6C" w14:textId="44ADD5B7" w:rsidR="00D07392" w:rsidRPr="00D07392" w:rsidRDefault="00D07392" w:rsidP="00B259B7">
      <w:pPr>
        <w:jc w:val="both"/>
        <w:rPr>
          <w:b/>
        </w:rPr>
      </w:pPr>
      <w:r w:rsidRPr="00D07392">
        <w:rPr>
          <w:b/>
        </w:rPr>
        <w:t>Subject Department Self-Evaluation</w:t>
      </w:r>
      <w:r w:rsidR="00A92000">
        <w:rPr>
          <w:b/>
        </w:rPr>
        <w:t>:</w:t>
      </w:r>
    </w:p>
    <w:p w14:paraId="0811238D" w14:textId="1B9F785C" w:rsidR="002C54C9" w:rsidRDefault="27959983" w:rsidP="00E82991">
      <w:pPr>
        <w:jc w:val="both"/>
      </w:pPr>
      <w:r>
        <w:t>The staff carried out the annual analysis of, and reflection on, Leaving Certificate resu</w:t>
      </w:r>
      <w:r w:rsidR="0020700B">
        <w:t>lts in September 2018</w:t>
      </w:r>
      <w:r>
        <w:t>. This included a comparison with national results and was used to assist with planning for the next academic year.</w:t>
      </w:r>
    </w:p>
    <w:p w14:paraId="148D7D04" w14:textId="226DD1F8" w:rsidR="002C54C9" w:rsidRDefault="27959983" w:rsidP="00E82991">
      <w:pPr>
        <w:jc w:val="both"/>
      </w:pPr>
      <w:r>
        <w:t xml:space="preserve">An analysis of Junior Certificate results was undertaken by departmental teams in October. </w:t>
      </w:r>
    </w:p>
    <w:p w14:paraId="02DC8F09" w14:textId="77777777" w:rsidR="00A92000" w:rsidRDefault="00A92000" w:rsidP="00D07392">
      <w:pPr>
        <w:jc w:val="both"/>
        <w:rPr>
          <w:b/>
        </w:rPr>
      </w:pPr>
    </w:p>
    <w:p w14:paraId="6A1CD7D5" w14:textId="53FDC318" w:rsidR="00D07392" w:rsidRPr="00D07392" w:rsidRDefault="00D07392" w:rsidP="00D07392">
      <w:pPr>
        <w:jc w:val="both"/>
        <w:rPr>
          <w:b/>
        </w:rPr>
      </w:pPr>
      <w:r w:rsidRPr="00D07392">
        <w:rPr>
          <w:b/>
        </w:rPr>
        <w:t>Middle Management Self-Evaluation</w:t>
      </w:r>
      <w:r w:rsidR="00A92000">
        <w:rPr>
          <w:b/>
        </w:rPr>
        <w:t>:</w:t>
      </w:r>
    </w:p>
    <w:p w14:paraId="44BE50D9" w14:textId="7EE7FAE5" w:rsidR="00AF4D07" w:rsidRDefault="40B15420" w:rsidP="00E82991">
      <w:pPr>
        <w:jc w:val="both"/>
      </w:pPr>
      <w:r>
        <w:t xml:space="preserve">In order to assist with SSE and DEIS planning a weekly meeting of management, year heads and HSCL was timetabled. Emphasis </w:t>
      </w:r>
      <w:r w:rsidR="00E27EFE">
        <w:t>at</w:t>
      </w:r>
      <w:r w:rsidR="00B259B7">
        <w:t xml:space="preserve"> these </w:t>
      </w:r>
      <w:r>
        <w:t xml:space="preserve">was placed on developmental issues as opposed to management/disciplinary issues. </w:t>
      </w:r>
    </w:p>
    <w:p w14:paraId="368F620B" w14:textId="401B5F44" w:rsidR="00B259B7" w:rsidRDefault="00B259B7" w:rsidP="00E82991">
      <w:pPr>
        <w:jc w:val="both"/>
      </w:pPr>
      <w:r w:rsidRPr="00B259B7">
        <w:t>In response to circular ‘cl0003/2018’ ‘Leadership &amp; management in Post Primary Schools’ a review of posts was conducted. In this process the staff decided on the needs and priorities of the school and from this list a list of roles and responsibilities was determined. Later in the year, Tipperary ETB provided two days of training for AP1 post holders. All schools were asked to choose one standard from one of the Le</w:t>
      </w:r>
      <w:r>
        <w:t xml:space="preserve">adership &amp; Management domains </w:t>
      </w:r>
      <w:r w:rsidRPr="00B259B7">
        <w:t xml:space="preserve">(Looking at Our Schools 2016) to develop. St. Ailbe’s chose to concentrate on the statement of effective practice </w:t>
      </w:r>
      <w:r w:rsidRPr="00E82991">
        <w:rPr>
          <w:b/>
        </w:rPr>
        <w:t>‘Those leading the SSE process actively consult and engage with students to review and improve teaching, learning and assessment practices.’</w:t>
      </w:r>
      <w:r w:rsidRPr="00B259B7">
        <w:t xml:space="preserve"> This was chosen as all subject departments had undergone a self-evaluation process in 2017 with a view to promoting the roll out of more active teaching methodologies and formative assessment practices in their classrooms. In the 2018/19 year a review of this self-evaluation </w:t>
      </w:r>
      <w:r>
        <w:t xml:space="preserve">process highlighted a significant lack </w:t>
      </w:r>
      <w:r w:rsidRPr="00B259B7">
        <w:t>of student voice in the process. All departments were asked then to revisit the 2017 self-evaluation with a view to ascertaining student opinion in relation to the roll out of the new methodologies and assessment practices. This was conducted by all departments and completed by Summer 2019. In September 2019, all departments will be asked to review the 2017 plan in light of information ob</w:t>
      </w:r>
      <w:r>
        <w:t xml:space="preserve">tained from the student surveys and to </w:t>
      </w:r>
      <w:r w:rsidR="006306DF">
        <w:t>modify the plan accordingly.</w:t>
      </w:r>
    </w:p>
    <w:p w14:paraId="3C08DA68" w14:textId="77777777" w:rsidR="00A92000" w:rsidRDefault="00A92000" w:rsidP="00D07392">
      <w:pPr>
        <w:jc w:val="both"/>
        <w:rPr>
          <w:b/>
        </w:rPr>
      </w:pPr>
    </w:p>
    <w:p w14:paraId="75228E83" w14:textId="408AD454" w:rsidR="00D07392" w:rsidRPr="00D07392" w:rsidRDefault="00D07392" w:rsidP="00D07392">
      <w:pPr>
        <w:jc w:val="both"/>
        <w:rPr>
          <w:b/>
        </w:rPr>
      </w:pPr>
      <w:r w:rsidRPr="00D07392">
        <w:rPr>
          <w:b/>
        </w:rPr>
        <w:t>Home School Liaison Evaluation</w:t>
      </w:r>
      <w:r w:rsidR="00A92000">
        <w:rPr>
          <w:b/>
        </w:rPr>
        <w:t>:</w:t>
      </w:r>
    </w:p>
    <w:p w14:paraId="5430665A" w14:textId="194BA8AA" w:rsidR="00AF4D07" w:rsidRDefault="40B15420" w:rsidP="00E82991">
      <w:pPr>
        <w:jc w:val="both"/>
      </w:pPr>
      <w:r>
        <w:t xml:space="preserve">HSCL </w:t>
      </w:r>
      <w:r w:rsidR="0020700B">
        <w:t xml:space="preserve">continued to implement </w:t>
      </w:r>
      <w:r>
        <w:t>a number of new initiatives aimed at improving attendance, retention, progression and establishing external links. These included:</w:t>
      </w:r>
    </w:p>
    <w:p w14:paraId="5FD37C83" w14:textId="77777777" w:rsidR="00AF4D07" w:rsidRDefault="00AF4D07" w:rsidP="00B259B7">
      <w:pPr>
        <w:pStyle w:val="ListParagraph"/>
        <w:jc w:val="both"/>
      </w:pPr>
    </w:p>
    <w:p w14:paraId="4F5C840E" w14:textId="6667E4C6" w:rsidR="00AF4D07" w:rsidRDefault="27959983" w:rsidP="00B259B7">
      <w:pPr>
        <w:pStyle w:val="ListParagraph"/>
        <w:numPr>
          <w:ilvl w:val="0"/>
          <w:numId w:val="2"/>
        </w:numPr>
        <w:jc w:val="both"/>
      </w:pPr>
      <w:r>
        <w:lastRenderedPageBreak/>
        <w:t>Tracking attendance of parents at P/T meetings and proactively encouraging parents to attend</w:t>
      </w:r>
      <w:r w:rsidR="00AF3091">
        <w:t>. Comparison of attendance rates over 2 years are given below:</w:t>
      </w:r>
    </w:p>
    <w:p w14:paraId="3AC05F3D" w14:textId="51E7D0FA" w:rsidR="00AF3091" w:rsidRDefault="00AF3091" w:rsidP="00B259B7">
      <w:pPr>
        <w:pStyle w:val="ListParagraph"/>
        <w:ind w:left="1440"/>
        <w:jc w:val="both"/>
      </w:pPr>
    </w:p>
    <w:tbl>
      <w:tblPr>
        <w:tblStyle w:val="TableGrid"/>
        <w:tblW w:w="0" w:type="auto"/>
        <w:tblInd w:w="1440" w:type="dxa"/>
        <w:tblLook w:val="04A0" w:firstRow="1" w:lastRow="0" w:firstColumn="1" w:lastColumn="0" w:noHBand="0" w:noVBand="1"/>
      </w:tblPr>
      <w:tblGrid>
        <w:gridCol w:w="1530"/>
        <w:gridCol w:w="1620"/>
        <w:gridCol w:w="1529"/>
        <w:gridCol w:w="1620"/>
      </w:tblGrid>
      <w:tr w:rsidR="00AF3091" w14:paraId="40B3C7AE" w14:textId="77777777" w:rsidTr="00AF3091">
        <w:tc>
          <w:tcPr>
            <w:tcW w:w="1530" w:type="dxa"/>
          </w:tcPr>
          <w:p w14:paraId="67B4166F" w14:textId="77777777" w:rsidR="00AF3091" w:rsidRPr="00AF3091" w:rsidRDefault="00AF3091" w:rsidP="00B259B7">
            <w:pPr>
              <w:pStyle w:val="ListParagraph"/>
              <w:ind w:left="0"/>
              <w:jc w:val="both"/>
              <w:rPr>
                <w:b/>
              </w:rPr>
            </w:pPr>
            <w:r w:rsidRPr="00AF3091">
              <w:rPr>
                <w:b/>
              </w:rPr>
              <w:t>Year</w:t>
            </w:r>
          </w:p>
          <w:p w14:paraId="1391E128" w14:textId="7B979E09" w:rsidR="00AF3091" w:rsidRPr="00AF3091" w:rsidRDefault="00AF3091" w:rsidP="00B259B7">
            <w:pPr>
              <w:pStyle w:val="ListParagraph"/>
              <w:ind w:left="0"/>
              <w:jc w:val="both"/>
              <w:rPr>
                <w:b/>
              </w:rPr>
            </w:pPr>
            <w:r w:rsidRPr="00AF3091">
              <w:rPr>
                <w:b/>
              </w:rPr>
              <w:t>2017/18</w:t>
            </w:r>
          </w:p>
        </w:tc>
        <w:tc>
          <w:tcPr>
            <w:tcW w:w="1620" w:type="dxa"/>
          </w:tcPr>
          <w:p w14:paraId="5E777BD2" w14:textId="513CAB14" w:rsidR="00AF3091" w:rsidRPr="00AF3091" w:rsidRDefault="00AF3091" w:rsidP="00B259B7">
            <w:pPr>
              <w:pStyle w:val="ListParagraph"/>
              <w:ind w:left="0"/>
              <w:jc w:val="both"/>
              <w:rPr>
                <w:b/>
              </w:rPr>
            </w:pPr>
            <w:r w:rsidRPr="00AF3091">
              <w:rPr>
                <w:b/>
              </w:rPr>
              <w:t>Parental attendance</w:t>
            </w:r>
          </w:p>
        </w:tc>
        <w:tc>
          <w:tcPr>
            <w:tcW w:w="1529" w:type="dxa"/>
          </w:tcPr>
          <w:p w14:paraId="3348CC89" w14:textId="77777777" w:rsidR="00AF3091" w:rsidRPr="00AF3091" w:rsidRDefault="00AF3091" w:rsidP="00B259B7">
            <w:pPr>
              <w:pStyle w:val="ListParagraph"/>
              <w:ind w:left="0"/>
              <w:jc w:val="both"/>
              <w:rPr>
                <w:b/>
              </w:rPr>
            </w:pPr>
            <w:r w:rsidRPr="00AF3091">
              <w:rPr>
                <w:b/>
              </w:rPr>
              <w:t>Year</w:t>
            </w:r>
          </w:p>
          <w:p w14:paraId="28D6124A" w14:textId="7092B1A7" w:rsidR="00AF3091" w:rsidRPr="00AF3091" w:rsidRDefault="00AF3091" w:rsidP="00B259B7">
            <w:pPr>
              <w:pStyle w:val="ListParagraph"/>
              <w:ind w:left="0"/>
              <w:jc w:val="both"/>
              <w:rPr>
                <w:b/>
              </w:rPr>
            </w:pPr>
            <w:r w:rsidRPr="00AF3091">
              <w:rPr>
                <w:b/>
              </w:rPr>
              <w:t>2018/19</w:t>
            </w:r>
          </w:p>
        </w:tc>
        <w:tc>
          <w:tcPr>
            <w:tcW w:w="1620" w:type="dxa"/>
          </w:tcPr>
          <w:p w14:paraId="3788630C" w14:textId="59DD0B6B" w:rsidR="00AF3091" w:rsidRPr="00AF3091" w:rsidRDefault="00AF3091" w:rsidP="00B259B7">
            <w:pPr>
              <w:pStyle w:val="ListParagraph"/>
              <w:ind w:left="0"/>
              <w:jc w:val="both"/>
              <w:rPr>
                <w:b/>
              </w:rPr>
            </w:pPr>
            <w:r w:rsidRPr="00AF3091">
              <w:rPr>
                <w:b/>
              </w:rPr>
              <w:t>Parental attendance</w:t>
            </w:r>
          </w:p>
        </w:tc>
      </w:tr>
      <w:tr w:rsidR="00AF3091" w14:paraId="011162AA" w14:textId="77777777" w:rsidTr="00AF3091">
        <w:tc>
          <w:tcPr>
            <w:tcW w:w="1530" w:type="dxa"/>
          </w:tcPr>
          <w:p w14:paraId="4C002924" w14:textId="3D4C8DF6" w:rsidR="00AF3091" w:rsidRDefault="00AF3091" w:rsidP="00B259B7">
            <w:pPr>
              <w:pStyle w:val="ListParagraph"/>
              <w:ind w:left="0"/>
              <w:jc w:val="both"/>
            </w:pPr>
            <w:r>
              <w:t>1</w:t>
            </w:r>
            <w:r w:rsidRPr="00AF3091">
              <w:rPr>
                <w:vertAlign w:val="superscript"/>
              </w:rPr>
              <w:t>st</w:t>
            </w:r>
            <w:r>
              <w:t xml:space="preserve"> </w:t>
            </w:r>
          </w:p>
        </w:tc>
        <w:tc>
          <w:tcPr>
            <w:tcW w:w="1620" w:type="dxa"/>
          </w:tcPr>
          <w:p w14:paraId="3D371621" w14:textId="2DF13282" w:rsidR="00AF3091" w:rsidRDefault="00AF3091" w:rsidP="00B259B7">
            <w:pPr>
              <w:pStyle w:val="ListParagraph"/>
              <w:ind w:left="0"/>
              <w:jc w:val="both"/>
            </w:pPr>
            <w:r>
              <w:t>84%</w:t>
            </w:r>
          </w:p>
        </w:tc>
        <w:tc>
          <w:tcPr>
            <w:tcW w:w="1529" w:type="dxa"/>
          </w:tcPr>
          <w:p w14:paraId="0558D7D8" w14:textId="46B65A50" w:rsidR="00AF3091" w:rsidRDefault="00AF3091" w:rsidP="00B259B7">
            <w:pPr>
              <w:pStyle w:val="ListParagraph"/>
              <w:ind w:left="0"/>
              <w:jc w:val="both"/>
            </w:pPr>
            <w:r>
              <w:t>2</w:t>
            </w:r>
            <w:r w:rsidRPr="00AF3091">
              <w:rPr>
                <w:vertAlign w:val="superscript"/>
              </w:rPr>
              <w:t>nd</w:t>
            </w:r>
            <w:r>
              <w:t xml:space="preserve"> </w:t>
            </w:r>
          </w:p>
        </w:tc>
        <w:tc>
          <w:tcPr>
            <w:tcW w:w="1620" w:type="dxa"/>
          </w:tcPr>
          <w:p w14:paraId="3C5D2381" w14:textId="337D2543" w:rsidR="00AF3091" w:rsidRDefault="00AF3091" w:rsidP="00B259B7">
            <w:pPr>
              <w:pStyle w:val="ListParagraph"/>
              <w:ind w:left="0"/>
              <w:jc w:val="both"/>
            </w:pPr>
            <w:r>
              <w:t>82%</w:t>
            </w:r>
          </w:p>
        </w:tc>
      </w:tr>
      <w:tr w:rsidR="00AF3091" w14:paraId="76180045" w14:textId="77777777" w:rsidTr="00AF3091">
        <w:tc>
          <w:tcPr>
            <w:tcW w:w="1530" w:type="dxa"/>
          </w:tcPr>
          <w:p w14:paraId="1302B2C8" w14:textId="6EA0D175" w:rsidR="00AF3091" w:rsidRDefault="00AF3091" w:rsidP="00B259B7">
            <w:pPr>
              <w:pStyle w:val="ListParagraph"/>
              <w:ind w:left="0"/>
              <w:jc w:val="both"/>
            </w:pPr>
            <w:r>
              <w:t>2</w:t>
            </w:r>
            <w:r w:rsidRPr="00AF3091">
              <w:rPr>
                <w:vertAlign w:val="superscript"/>
              </w:rPr>
              <w:t>nd</w:t>
            </w:r>
            <w:r>
              <w:t xml:space="preserve"> </w:t>
            </w:r>
          </w:p>
        </w:tc>
        <w:tc>
          <w:tcPr>
            <w:tcW w:w="1620" w:type="dxa"/>
          </w:tcPr>
          <w:p w14:paraId="69915DC6" w14:textId="4AA96520" w:rsidR="00AF3091" w:rsidRDefault="00AF3091" w:rsidP="00B259B7">
            <w:pPr>
              <w:pStyle w:val="ListParagraph"/>
              <w:ind w:left="0"/>
              <w:jc w:val="both"/>
            </w:pPr>
            <w:r>
              <w:t>79%</w:t>
            </w:r>
          </w:p>
        </w:tc>
        <w:tc>
          <w:tcPr>
            <w:tcW w:w="1529" w:type="dxa"/>
          </w:tcPr>
          <w:p w14:paraId="08C76656" w14:textId="5CB398A3" w:rsidR="00AF3091" w:rsidRDefault="00AF3091" w:rsidP="00B259B7">
            <w:pPr>
              <w:pStyle w:val="ListParagraph"/>
              <w:ind w:left="0"/>
              <w:jc w:val="both"/>
            </w:pPr>
            <w:r>
              <w:t>3</w:t>
            </w:r>
            <w:r w:rsidRPr="00AF3091">
              <w:rPr>
                <w:vertAlign w:val="superscript"/>
              </w:rPr>
              <w:t>rd</w:t>
            </w:r>
            <w:r>
              <w:t xml:space="preserve"> </w:t>
            </w:r>
          </w:p>
        </w:tc>
        <w:tc>
          <w:tcPr>
            <w:tcW w:w="1620" w:type="dxa"/>
          </w:tcPr>
          <w:p w14:paraId="64ADB487" w14:textId="34998578" w:rsidR="00AF3091" w:rsidRDefault="00AF3091" w:rsidP="00B259B7">
            <w:pPr>
              <w:pStyle w:val="ListParagraph"/>
              <w:ind w:left="0"/>
              <w:jc w:val="both"/>
            </w:pPr>
            <w:r>
              <w:t>83%</w:t>
            </w:r>
          </w:p>
        </w:tc>
      </w:tr>
      <w:tr w:rsidR="00AF3091" w14:paraId="6967BAB9" w14:textId="77777777" w:rsidTr="00AF3091">
        <w:tc>
          <w:tcPr>
            <w:tcW w:w="1530" w:type="dxa"/>
          </w:tcPr>
          <w:p w14:paraId="11CF4DFB" w14:textId="2A9066CC" w:rsidR="00AF3091" w:rsidRDefault="00AF3091" w:rsidP="00B259B7">
            <w:pPr>
              <w:pStyle w:val="ListParagraph"/>
              <w:ind w:left="0"/>
              <w:jc w:val="both"/>
            </w:pPr>
            <w:r>
              <w:t>3</w:t>
            </w:r>
            <w:r w:rsidRPr="00AF3091">
              <w:rPr>
                <w:vertAlign w:val="superscript"/>
              </w:rPr>
              <w:t>rd</w:t>
            </w:r>
            <w:r>
              <w:t xml:space="preserve"> </w:t>
            </w:r>
          </w:p>
        </w:tc>
        <w:tc>
          <w:tcPr>
            <w:tcW w:w="1620" w:type="dxa"/>
          </w:tcPr>
          <w:p w14:paraId="58EF53D9" w14:textId="76D197C8" w:rsidR="00AF3091" w:rsidRDefault="00AF3091" w:rsidP="00B259B7">
            <w:pPr>
              <w:pStyle w:val="ListParagraph"/>
              <w:ind w:left="0"/>
              <w:jc w:val="both"/>
            </w:pPr>
            <w:r>
              <w:t>69%</w:t>
            </w:r>
          </w:p>
        </w:tc>
        <w:tc>
          <w:tcPr>
            <w:tcW w:w="1529" w:type="dxa"/>
          </w:tcPr>
          <w:p w14:paraId="7070987A" w14:textId="0C608A28" w:rsidR="00AF3091" w:rsidRDefault="00AF3091" w:rsidP="00B259B7">
            <w:pPr>
              <w:pStyle w:val="ListParagraph"/>
              <w:ind w:left="0"/>
              <w:jc w:val="both"/>
            </w:pPr>
            <w:r>
              <w:t>5</w:t>
            </w:r>
            <w:r w:rsidRPr="00AF3091">
              <w:rPr>
                <w:vertAlign w:val="superscript"/>
              </w:rPr>
              <w:t>th</w:t>
            </w:r>
            <w:r>
              <w:t xml:space="preserve"> </w:t>
            </w:r>
          </w:p>
        </w:tc>
        <w:tc>
          <w:tcPr>
            <w:tcW w:w="1620" w:type="dxa"/>
          </w:tcPr>
          <w:p w14:paraId="2A9668B2" w14:textId="08B32657" w:rsidR="00AF3091" w:rsidRDefault="00AF3091" w:rsidP="00B259B7">
            <w:pPr>
              <w:pStyle w:val="ListParagraph"/>
              <w:ind w:left="0"/>
              <w:jc w:val="both"/>
            </w:pPr>
            <w:r>
              <w:t>77%</w:t>
            </w:r>
          </w:p>
        </w:tc>
      </w:tr>
      <w:tr w:rsidR="00AF3091" w14:paraId="2362E1EA" w14:textId="77777777" w:rsidTr="00AF3091">
        <w:tc>
          <w:tcPr>
            <w:tcW w:w="1530" w:type="dxa"/>
          </w:tcPr>
          <w:p w14:paraId="4B7337A1" w14:textId="30508A04" w:rsidR="00AF3091" w:rsidRDefault="00AF3091" w:rsidP="00B259B7">
            <w:pPr>
              <w:pStyle w:val="ListParagraph"/>
              <w:ind w:left="0"/>
              <w:jc w:val="both"/>
            </w:pPr>
            <w:r>
              <w:t>5</w:t>
            </w:r>
            <w:r w:rsidRPr="00AF3091">
              <w:rPr>
                <w:vertAlign w:val="superscript"/>
              </w:rPr>
              <w:t>th</w:t>
            </w:r>
            <w:r>
              <w:t xml:space="preserve"> </w:t>
            </w:r>
          </w:p>
        </w:tc>
        <w:tc>
          <w:tcPr>
            <w:tcW w:w="1620" w:type="dxa"/>
          </w:tcPr>
          <w:p w14:paraId="1E29EEF6" w14:textId="22D90C82" w:rsidR="00AF3091" w:rsidRDefault="00AF3091" w:rsidP="00B259B7">
            <w:pPr>
              <w:pStyle w:val="ListParagraph"/>
              <w:ind w:left="0"/>
              <w:jc w:val="both"/>
            </w:pPr>
            <w:r>
              <w:t>85%</w:t>
            </w:r>
          </w:p>
        </w:tc>
        <w:tc>
          <w:tcPr>
            <w:tcW w:w="1529" w:type="dxa"/>
          </w:tcPr>
          <w:p w14:paraId="49C1142E" w14:textId="427F6016" w:rsidR="00AF3091" w:rsidRDefault="00AF3091" w:rsidP="00B259B7">
            <w:pPr>
              <w:pStyle w:val="ListParagraph"/>
              <w:ind w:left="0"/>
              <w:jc w:val="both"/>
            </w:pPr>
            <w:r>
              <w:t>6</w:t>
            </w:r>
            <w:r w:rsidRPr="00AF3091">
              <w:rPr>
                <w:vertAlign w:val="superscript"/>
              </w:rPr>
              <w:t>th</w:t>
            </w:r>
            <w:r>
              <w:t xml:space="preserve"> </w:t>
            </w:r>
          </w:p>
        </w:tc>
        <w:tc>
          <w:tcPr>
            <w:tcW w:w="1620" w:type="dxa"/>
          </w:tcPr>
          <w:p w14:paraId="0F300720" w14:textId="6221876A" w:rsidR="00AF3091" w:rsidRDefault="00AF3091" w:rsidP="00B259B7">
            <w:pPr>
              <w:pStyle w:val="ListParagraph"/>
              <w:ind w:left="0"/>
              <w:jc w:val="both"/>
            </w:pPr>
            <w:r>
              <w:t>66%</w:t>
            </w:r>
          </w:p>
        </w:tc>
      </w:tr>
      <w:tr w:rsidR="00AF3091" w14:paraId="4190D882" w14:textId="77777777" w:rsidTr="00AF3091">
        <w:tc>
          <w:tcPr>
            <w:tcW w:w="1530" w:type="dxa"/>
          </w:tcPr>
          <w:p w14:paraId="23818CBA" w14:textId="243FBC46" w:rsidR="00AF3091" w:rsidRDefault="00AF3091" w:rsidP="00B259B7">
            <w:pPr>
              <w:pStyle w:val="ListParagraph"/>
              <w:ind w:left="0"/>
              <w:jc w:val="both"/>
            </w:pPr>
            <w:r>
              <w:t>LCA</w:t>
            </w:r>
          </w:p>
        </w:tc>
        <w:tc>
          <w:tcPr>
            <w:tcW w:w="1620" w:type="dxa"/>
          </w:tcPr>
          <w:p w14:paraId="3C007052" w14:textId="2C225B7D" w:rsidR="00AF3091" w:rsidRDefault="00AF3091" w:rsidP="00B259B7">
            <w:pPr>
              <w:pStyle w:val="ListParagraph"/>
              <w:ind w:left="0"/>
              <w:jc w:val="both"/>
            </w:pPr>
            <w:r>
              <w:t>8%</w:t>
            </w:r>
          </w:p>
        </w:tc>
        <w:tc>
          <w:tcPr>
            <w:tcW w:w="1529" w:type="dxa"/>
          </w:tcPr>
          <w:p w14:paraId="77E1CED4" w14:textId="546BB08E" w:rsidR="00AF3091" w:rsidRDefault="00AF3091" w:rsidP="00B259B7">
            <w:pPr>
              <w:pStyle w:val="ListParagraph"/>
              <w:ind w:left="0"/>
              <w:jc w:val="both"/>
            </w:pPr>
            <w:r>
              <w:t>LCA</w:t>
            </w:r>
          </w:p>
        </w:tc>
        <w:tc>
          <w:tcPr>
            <w:tcW w:w="1620" w:type="dxa"/>
          </w:tcPr>
          <w:p w14:paraId="2CC8A170" w14:textId="6EB3CA97" w:rsidR="00AF3091" w:rsidRDefault="00AF3091" w:rsidP="00B259B7">
            <w:pPr>
              <w:pStyle w:val="ListParagraph"/>
              <w:ind w:left="0"/>
              <w:jc w:val="both"/>
            </w:pPr>
            <w:r>
              <w:t>92%</w:t>
            </w:r>
          </w:p>
        </w:tc>
      </w:tr>
    </w:tbl>
    <w:p w14:paraId="4548DDBD" w14:textId="77777777" w:rsidR="00AF3091" w:rsidRDefault="00AF3091" w:rsidP="00B259B7">
      <w:pPr>
        <w:pStyle w:val="ListParagraph"/>
        <w:ind w:left="1440"/>
        <w:jc w:val="both"/>
      </w:pPr>
    </w:p>
    <w:p w14:paraId="444692A6" w14:textId="2A70ED48" w:rsidR="00EF042C" w:rsidRDefault="00AF3091" w:rsidP="00B259B7">
      <w:pPr>
        <w:pStyle w:val="ListParagraph"/>
        <w:ind w:left="1440"/>
        <w:jc w:val="both"/>
      </w:pPr>
      <w:r>
        <w:t xml:space="preserve">LCA significant improvement from 8% to 92% due to </w:t>
      </w:r>
      <w:r w:rsidR="00DD4CD6">
        <w:t>scheduling of individual meetings during the school day. Currently</w:t>
      </w:r>
      <w:r w:rsidR="00EF042C">
        <w:t>,</w:t>
      </w:r>
      <w:r w:rsidR="00DD4CD6">
        <w:t xml:space="preserve"> average attendance at parent teacher meetings </w:t>
      </w:r>
      <w:r w:rsidR="00B259B7">
        <w:t xml:space="preserve">is 80% and the school has a </w:t>
      </w:r>
      <w:r w:rsidR="00E27EFE">
        <w:t>3-year</w:t>
      </w:r>
      <w:r w:rsidR="00DD4CD6">
        <w:t xml:space="preserve"> target of 90% attendance.</w:t>
      </w:r>
    </w:p>
    <w:p w14:paraId="783D1D06" w14:textId="69C5C9C5" w:rsidR="00AF3091" w:rsidRDefault="00EF042C" w:rsidP="00B259B7">
      <w:pPr>
        <w:pStyle w:val="ListParagraph"/>
        <w:numPr>
          <w:ilvl w:val="0"/>
          <w:numId w:val="2"/>
        </w:numPr>
        <w:jc w:val="both"/>
      </w:pPr>
      <w:r>
        <w:t>In order to further efforts to reduce absenteeism in the school a weekly attendance monitoring meeting was scheduled. This was attended by the DP, SCP team</w:t>
      </w:r>
      <w:r w:rsidR="00B259B7">
        <w:t>-</w:t>
      </w:r>
      <w:r>
        <w:t xml:space="preserve">leader and HSCL. </w:t>
      </w:r>
      <w:r w:rsidR="00B259B7">
        <w:t xml:space="preserve">For the junior school </w:t>
      </w:r>
      <w:r w:rsidR="006306DF">
        <w:t>in</w:t>
      </w:r>
      <w:r w:rsidR="00B259B7">
        <w:t xml:space="preserve"> 2018/19</w:t>
      </w:r>
      <w:r w:rsidR="006306DF">
        <w:t>,</w:t>
      </w:r>
      <w:r w:rsidR="00B259B7">
        <w:t xml:space="preserve"> a year on year reduction of 3.7% in </w:t>
      </w:r>
      <w:r w:rsidR="00E82991">
        <w:t>the rate</w:t>
      </w:r>
      <w:r w:rsidR="00B259B7">
        <w:t xml:space="preserve"> of absenteeism was recorded.</w:t>
      </w:r>
    </w:p>
    <w:p w14:paraId="2B42FE74" w14:textId="77777777" w:rsidR="00AF4D07" w:rsidRDefault="27959983" w:rsidP="00B259B7">
      <w:pPr>
        <w:pStyle w:val="ListParagraph"/>
        <w:numPr>
          <w:ilvl w:val="0"/>
          <w:numId w:val="2"/>
        </w:numPr>
        <w:jc w:val="both"/>
      </w:pPr>
      <w:r>
        <w:t>Senior Options evening</w:t>
      </w:r>
    </w:p>
    <w:p w14:paraId="44287B29" w14:textId="77777777" w:rsidR="00AF4D07" w:rsidRDefault="27959983" w:rsidP="00B259B7">
      <w:pPr>
        <w:pStyle w:val="ListParagraph"/>
        <w:numPr>
          <w:ilvl w:val="0"/>
          <w:numId w:val="2"/>
        </w:numPr>
        <w:jc w:val="both"/>
      </w:pPr>
      <w:r>
        <w:t>CAO/Apprenticeship information evening</w:t>
      </w:r>
    </w:p>
    <w:p w14:paraId="6009B79F" w14:textId="36434CDB" w:rsidR="00AF4D07" w:rsidRDefault="27959983" w:rsidP="00B259B7">
      <w:pPr>
        <w:pStyle w:val="ListParagraph"/>
        <w:numPr>
          <w:ilvl w:val="0"/>
          <w:numId w:val="2"/>
        </w:numPr>
        <w:jc w:val="both"/>
      </w:pPr>
      <w:r>
        <w:t>Parent information afternoon for incoming 1</w:t>
      </w:r>
      <w:r w:rsidRPr="27959983">
        <w:rPr>
          <w:vertAlign w:val="superscript"/>
        </w:rPr>
        <w:t>st</w:t>
      </w:r>
      <w:r>
        <w:t xml:space="preserve"> years</w:t>
      </w:r>
      <w:r w:rsidR="001171B5">
        <w:t xml:space="preserve"> was introduced in 2017/18 and it was reviewed and evaluated using an online questionnaire issued to 1</w:t>
      </w:r>
      <w:r w:rsidR="001171B5" w:rsidRPr="001171B5">
        <w:rPr>
          <w:vertAlign w:val="superscript"/>
        </w:rPr>
        <w:t>st</w:t>
      </w:r>
      <w:r w:rsidR="001171B5">
        <w:t xml:space="preserve"> year parents</w:t>
      </w:r>
      <w:r w:rsidR="00D07392">
        <w:t xml:space="preserve"> in February 2019. A number of changes were made to this year’s presentation as a result. </w:t>
      </w:r>
    </w:p>
    <w:p w14:paraId="6FD645E5" w14:textId="31C406AF" w:rsidR="00CE24E6" w:rsidRDefault="27959983" w:rsidP="00B259B7">
      <w:pPr>
        <w:pStyle w:val="ListParagraph"/>
        <w:numPr>
          <w:ilvl w:val="0"/>
          <w:numId w:val="2"/>
        </w:numPr>
        <w:jc w:val="both"/>
      </w:pPr>
      <w:r>
        <w:t xml:space="preserve">Link </w:t>
      </w:r>
      <w:r w:rsidR="00E82991">
        <w:t>continued</w:t>
      </w:r>
      <w:r>
        <w:t xml:space="preserve"> with ABP Food Group in Cahir. This involved student visits to the workplace</w:t>
      </w:r>
      <w:r w:rsidR="00EF042C">
        <w:t>, interview techniques etc.</w:t>
      </w:r>
      <w:r w:rsidR="00D07392">
        <w:t xml:space="preserve"> </w:t>
      </w:r>
    </w:p>
    <w:p w14:paraId="69D5E688" w14:textId="5CACF221" w:rsidR="00D07392" w:rsidRPr="00D07392" w:rsidRDefault="00D07392" w:rsidP="00D07392">
      <w:pPr>
        <w:jc w:val="both"/>
        <w:rPr>
          <w:b/>
        </w:rPr>
      </w:pPr>
      <w:r w:rsidRPr="00D07392">
        <w:rPr>
          <w:b/>
        </w:rPr>
        <w:t>Referrals &amp; Suspensions</w:t>
      </w:r>
      <w:r w:rsidR="00A92000">
        <w:rPr>
          <w:b/>
        </w:rPr>
        <w:t>:</w:t>
      </w:r>
    </w:p>
    <w:p w14:paraId="0A445B0E" w14:textId="77777777" w:rsidR="00326554" w:rsidRDefault="27959983" w:rsidP="00E82991">
      <w:pPr>
        <w:jc w:val="both"/>
      </w:pPr>
      <w:r>
        <w:t>Discipline issues continue to be monitored by tracking the numbers of suspensions and referral forms issued during the year. Targets are set each year. Results are given below:</w:t>
      </w:r>
    </w:p>
    <w:p w14:paraId="7B65DB1C" w14:textId="77777777" w:rsidR="0041031A" w:rsidRDefault="0041031A" w:rsidP="00B259B7">
      <w:pPr>
        <w:pStyle w:val="ListParagraph"/>
        <w:jc w:val="both"/>
      </w:pPr>
    </w:p>
    <w:tbl>
      <w:tblPr>
        <w:tblStyle w:val="TableGrid"/>
        <w:tblW w:w="0" w:type="auto"/>
        <w:jc w:val="center"/>
        <w:tblLook w:val="04A0" w:firstRow="1" w:lastRow="0" w:firstColumn="1" w:lastColumn="0" w:noHBand="0" w:noVBand="1"/>
      </w:tblPr>
      <w:tblGrid>
        <w:gridCol w:w="2780"/>
        <w:gridCol w:w="2817"/>
      </w:tblGrid>
      <w:tr w:rsidR="0041031A" w14:paraId="76992431" w14:textId="77777777" w:rsidTr="27959983">
        <w:trPr>
          <w:jc w:val="center"/>
        </w:trPr>
        <w:tc>
          <w:tcPr>
            <w:tcW w:w="2780" w:type="dxa"/>
          </w:tcPr>
          <w:p w14:paraId="0D93B5C4" w14:textId="77777777" w:rsidR="0041031A" w:rsidRPr="00740EC9" w:rsidRDefault="27959983" w:rsidP="00B259B7">
            <w:pPr>
              <w:pStyle w:val="ListParagraph"/>
              <w:ind w:left="0"/>
              <w:jc w:val="both"/>
              <w:rPr>
                <w:b/>
                <w:bCs/>
              </w:rPr>
            </w:pPr>
            <w:r w:rsidRPr="27959983">
              <w:rPr>
                <w:b/>
                <w:bCs/>
              </w:rPr>
              <w:t>Year</w:t>
            </w:r>
          </w:p>
        </w:tc>
        <w:tc>
          <w:tcPr>
            <w:tcW w:w="2817" w:type="dxa"/>
          </w:tcPr>
          <w:p w14:paraId="76B0C597" w14:textId="77777777" w:rsidR="0041031A" w:rsidRPr="00740EC9" w:rsidRDefault="27959983" w:rsidP="00B259B7">
            <w:pPr>
              <w:pStyle w:val="ListParagraph"/>
              <w:ind w:left="0"/>
              <w:jc w:val="both"/>
              <w:rPr>
                <w:b/>
                <w:bCs/>
              </w:rPr>
            </w:pPr>
            <w:r w:rsidRPr="27959983">
              <w:rPr>
                <w:b/>
                <w:bCs/>
              </w:rPr>
              <w:t>Number of suspensions</w:t>
            </w:r>
          </w:p>
        </w:tc>
      </w:tr>
      <w:tr w:rsidR="00740EC9" w14:paraId="470DAC1C" w14:textId="77777777" w:rsidTr="27959983">
        <w:trPr>
          <w:jc w:val="center"/>
        </w:trPr>
        <w:tc>
          <w:tcPr>
            <w:tcW w:w="2780" w:type="dxa"/>
          </w:tcPr>
          <w:p w14:paraId="6C0E7332" w14:textId="77777777" w:rsidR="00740EC9" w:rsidRDefault="27959983" w:rsidP="00B259B7">
            <w:pPr>
              <w:pStyle w:val="ListParagraph"/>
              <w:ind w:left="0"/>
              <w:jc w:val="both"/>
            </w:pPr>
            <w:r>
              <w:t>2018/19</w:t>
            </w:r>
          </w:p>
        </w:tc>
        <w:tc>
          <w:tcPr>
            <w:tcW w:w="2817" w:type="dxa"/>
          </w:tcPr>
          <w:p w14:paraId="016627B3" w14:textId="7377353C" w:rsidR="00740EC9" w:rsidRDefault="00B00528" w:rsidP="00B259B7">
            <w:pPr>
              <w:pStyle w:val="ListParagraph"/>
              <w:ind w:left="0"/>
              <w:jc w:val="both"/>
            </w:pPr>
            <w:r>
              <w:t xml:space="preserve">21 </w:t>
            </w:r>
            <w:r w:rsidR="008941E3">
              <w:t>(t</w:t>
            </w:r>
            <w:r w:rsidR="27959983">
              <w:t>arget 25</w:t>
            </w:r>
            <w:r w:rsidR="008941E3">
              <w:t>)</w:t>
            </w:r>
          </w:p>
        </w:tc>
      </w:tr>
      <w:tr w:rsidR="0041031A" w14:paraId="59B2B8E2" w14:textId="77777777" w:rsidTr="27959983">
        <w:trPr>
          <w:jc w:val="center"/>
        </w:trPr>
        <w:tc>
          <w:tcPr>
            <w:tcW w:w="2780" w:type="dxa"/>
          </w:tcPr>
          <w:p w14:paraId="72907CD8" w14:textId="77777777" w:rsidR="0041031A" w:rsidRDefault="27959983" w:rsidP="00B259B7">
            <w:pPr>
              <w:pStyle w:val="ListParagraph"/>
              <w:ind w:left="0"/>
              <w:jc w:val="both"/>
            </w:pPr>
            <w:r>
              <w:t>2017/18</w:t>
            </w:r>
          </w:p>
        </w:tc>
        <w:tc>
          <w:tcPr>
            <w:tcW w:w="2817" w:type="dxa"/>
          </w:tcPr>
          <w:p w14:paraId="2C126B7F" w14:textId="77777777" w:rsidR="0041031A" w:rsidRDefault="27959983" w:rsidP="00B259B7">
            <w:pPr>
              <w:pStyle w:val="ListParagraph"/>
              <w:ind w:left="0"/>
              <w:jc w:val="both"/>
            </w:pPr>
            <w:r>
              <w:t>32</w:t>
            </w:r>
          </w:p>
        </w:tc>
      </w:tr>
      <w:tr w:rsidR="0041031A" w14:paraId="1F4A7A96" w14:textId="77777777" w:rsidTr="27959983">
        <w:trPr>
          <w:jc w:val="center"/>
        </w:trPr>
        <w:tc>
          <w:tcPr>
            <w:tcW w:w="2780" w:type="dxa"/>
          </w:tcPr>
          <w:p w14:paraId="386B9676" w14:textId="77777777" w:rsidR="0041031A" w:rsidRDefault="27959983" w:rsidP="00B259B7">
            <w:pPr>
              <w:pStyle w:val="ListParagraph"/>
              <w:ind w:left="0"/>
              <w:jc w:val="both"/>
            </w:pPr>
            <w:r>
              <w:t>2016/17</w:t>
            </w:r>
          </w:p>
        </w:tc>
        <w:tc>
          <w:tcPr>
            <w:tcW w:w="2817" w:type="dxa"/>
          </w:tcPr>
          <w:p w14:paraId="1277F6F9" w14:textId="77777777" w:rsidR="0041031A" w:rsidRDefault="27959983" w:rsidP="00B259B7">
            <w:pPr>
              <w:pStyle w:val="ListParagraph"/>
              <w:ind w:left="0"/>
              <w:jc w:val="both"/>
            </w:pPr>
            <w:r>
              <w:t>38</w:t>
            </w:r>
          </w:p>
        </w:tc>
      </w:tr>
      <w:tr w:rsidR="0041031A" w14:paraId="3833EFFB" w14:textId="77777777" w:rsidTr="27959983">
        <w:trPr>
          <w:jc w:val="center"/>
        </w:trPr>
        <w:tc>
          <w:tcPr>
            <w:tcW w:w="2780" w:type="dxa"/>
          </w:tcPr>
          <w:p w14:paraId="074D94F4" w14:textId="77777777" w:rsidR="0041031A" w:rsidRDefault="27959983" w:rsidP="00B259B7">
            <w:pPr>
              <w:pStyle w:val="ListParagraph"/>
              <w:ind w:left="0"/>
              <w:jc w:val="both"/>
            </w:pPr>
            <w:r>
              <w:t>2015/16</w:t>
            </w:r>
          </w:p>
        </w:tc>
        <w:tc>
          <w:tcPr>
            <w:tcW w:w="2817" w:type="dxa"/>
          </w:tcPr>
          <w:p w14:paraId="4657FA8E" w14:textId="77777777" w:rsidR="0041031A" w:rsidRDefault="27959983" w:rsidP="00B259B7">
            <w:pPr>
              <w:pStyle w:val="ListParagraph"/>
              <w:ind w:left="0"/>
              <w:jc w:val="both"/>
            </w:pPr>
            <w:r>
              <w:t>43</w:t>
            </w:r>
          </w:p>
        </w:tc>
      </w:tr>
      <w:tr w:rsidR="00740EC9" w14:paraId="2C7EBB67" w14:textId="77777777" w:rsidTr="27959983">
        <w:trPr>
          <w:jc w:val="center"/>
        </w:trPr>
        <w:tc>
          <w:tcPr>
            <w:tcW w:w="2780" w:type="dxa"/>
            <w:shd w:val="clear" w:color="auto" w:fill="BFBFBF" w:themeFill="background1" w:themeFillShade="BF"/>
          </w:tcPr>
          <w:p w14:paraId="3B8A3438" w14:textId="77777777" w:rsidR="00740EC9" w:rsidRDefault="00740EC9" w:rsidP="00B259B7">
            <w:pPr>
              <w:pStyle w:val="ListParagraph"/>
              <w:ind w:left="0"/>
              <w:jc w:val="both"/>
            </w:pPr>
          </w:p>
        </w:tc>
        <w:tc>
          <w:tcPr>
            <w:tcW w:w="2817" w:type="dxa"/>
            <w:shd w:val="clear" w:color="auto" w:fill="BFBFBF" w:themeFill="background1" w:themeFillShade="BF"/>
          </w:tcPr>
          <w:p w14:paraId="40021F7C" w14:textId="77777777" w:rsidR="00740EC9" w:rsidRDefault="00740EC9" w:rsidP="00B259B7">
            <w:pPr>
              <w:pStyle w:val="ListParagraph"/>
              <w:ind w:left="0"/>
              <w:jc w:val="both"/>
            </w:pPr>
          </w:p>
        </w:tc>
      </w:tr>
      <w:tr w:rsidR="00740EC9" w14:paraId="1494D6CA" w14:textId="77777777" w:rsidTr="27959983">
        <w:trPr>
          <w:jc w:val="center"/>
        </w:trPr>
        <w:tc>
          <w:tcPr>
            <w:tcW w:w="2780" w:type="dxa"/>
          </w:tcPr>
          <w:p w14:paraId="14E832B7" w14:textId="77777777" w:rsidR="00740EC9" w:rsidRPr="00740EC9" w:rsidRDefault="27959983" w:rsidP="00B259B7">
            <w:pPr>
              <w:pStyle w:val="ListParagraph"/>
              <w:ind w:left="0"/>
              <w:jc w:val="both"/>
              <w:rPr>
                <w:b/>
                <w:bCs/>
              </w:rPr>
            </w:pPr>
            <w:r w:rsidRPr="27959983">
              <w:rPr>
                <w:b/>
                <w:bCs/>
              </w:rPr>
              <w:t>Year</w:t>
            </w:r>
          </w:p>
        </w:tc>
        <w:tc>
          <w:tcPr>
            <w:tcW w:w="2817" w:type="dxa"/>
          </w:tcPr>
          <w:p w14:paraId="2AEE5738" w14:textId="77777777" w:rsidR="00740EC9" w:rsidRPr="00740EC9" w:rsidRDefault="27959983" w:rsidP="00B259B7">
            <w:pPr>
              <w:pStyle w:val="ListParagraph"/>
              <w:ind w:left="0"/>
              <w:jc w:val="both"/>
              <w:rPr>
                <w:b/>
                <w:bCs/>
              </w:rPr>
            </w:pPr>
            <w:r w:rsidRPr="27959983">
              <w:rPr>
                <w:b/>
                <w:bCs/>
              </w:rPr>
              <w:t>Number of referral forms</w:t>
            </w:r>
          </w:p>
        </w:tc>
      </w:tr>
      <w:tr w:rsidR="00740EC9" w14:paraId="52F52B07" w14:textId="77777777" w:rsidTr="27959983">
        <w:trPr>
          <w:jc w:val="center"/>
        </w:trPr>
        <w:tc>
          <w:tcPr>
            <w:tcW w:w="2780" w:type="dxa"/>
          </w:tcPr>
          <w:p w14:paraId="2D00B5E3" w14:textId="77777777" w:rsidR="00740EC9" w:rsidRDefault="27959983" w:rsidP="00B259B7">
            <w:pPr>
              <w:pStyle w:val="ListParagraph"/>
              <w:ind w:left="0"/>
              <w:jc w:val="both"/>
            </w:pPr>
            <w:r>
              <w:t>2018/19</w:t>
            </w:r>
          </w:p>
        </w:tc>
        <w:tc>
          <w:tcPr>
            <w:tcW w:w="2817" w:type="dxa"/>
          </w:tcPr>
          <w:p w14:paraId="0F4E8947" w14:textId="0D244D97" w:rsidR="00740EC9" w:rsidRDefault="00B00528" w:rsidP="00B259B7">
            <w:pPr>
              <w:pStyle w:val="ListParagraph"/>
              <w:ind w:left="0"/>
              <w:jc w:val="both"/>
            </w:pPr>
            <w:r>
              <w:t>105 (t</w:t>
            </w:r>
            <w:r w:rsidR="27959983">
              <w:t>arget 120</w:t>
            </w:r>
            <w:r>
              <w:t>)</w:t>
            </w:r>
          </w:p>
        </w:tc>
      </w:tr>
      <w:tr w:rsidR="00740EC9" w14:paraId="05A568E6" w14:textId="77777777" w:rsidTr="27959983">
        <w:trPr>
          <w:jc w:val="center"/>
        </w:trPr>
        <w:tc>
          <w:tcPr>
            <w:tcW w:w="2780" w:type="dxa"/>
          </w:tcPr>
          <w:p w14:paraId="22809B43" w14:textId="77777777" w:rsidR="00740EC9" w:rsidRDefault="27959983" w:rsidP="00B259B7">
            <w:pPr>
              <w:pStyle w:val="ListParagraph"/>
              <w:ind w:left="0"/>
              <w:jc w:val="both"/>
            </w:pPr>
            <w:r>
              <w:t>2017/18</w:t>
            </w:r>
          </w:p>
        </w:tc>
        <w:tc>
          <w:tcPr>
            <w:tcW w:w="2817" w:type="dxa"/>
          </w:tcPr>
          <w:p w14:paraId="3AD12C83" w14:textId="77777777" w:rsidR="00740EC9" w:rsidRDefault="27959983" w:rsidP="00B259B7">
            <w:pPr>
              <w:pStyle w:val="ListParagraph"/>
              <w:ind w:left="0"/>
              <w:jc w:val="both"/>
            </w:pPr>
            <w:r>
              <w:t>137 (target 150)</w:t>
            </w:r>
          </w:p>
        </w:tc>
      </w:tr>
      <w:tr w:rsidR="00740EC9" w14:paraId="4F8BB969" w14:textId="77777777" w:rsidTr="27959983">
        <w:trPr>
          <w:jc w:val="center"/>
        </w:trPr>
        <w:tc>
          <w:tcPr>
            <w:tcW w:w="2780" w:type="dxa"/>
          </w:tcPr>
          <w:p w14:paraId="35B5E1B9" w14:textId="77777777" w:rsidR="00740EC9" w:rsidRDefault="27959983" w:rsidP="00B259B7">
            <w:pPr>
              <w:pStyle w:val="ListParagraph"/>
              <w:ind w:left="0"/>
              <w:jc w:val="both"/>
            </w:pPr>
            <w:r>
              <w:t>2016/17</w:t>
            </w:r>
          </w:p>
        </w:tc>
        <w:tc>
          <w:tcPr>
            <w:tcW w:w="2817" w:type="dxa"/>
          </w:tcPr>
          <w:p w14:paraId="1DA14974" w14:textId="77777777" w:rsidR="00740EC9" w:rsidRDefault="27959983" w:rsidP="00B259B7">
            <w:pPr>
              <w:pStyle w:val="ListParagraph"/>
              <w:ind w:left="0"/>
              <w:jc w:val="both"/>
            </w:pPr>
            <w:r>
              <w:t>178 (target 200)</w:t>
            </w:r>
          </w:p>
        </w:tc>
      </w:tr>
      <w:tr w:rsidR="00740EC9" w14:paraId="18717407" w14:textId="77777777" w:rsidTr="27959983">
        <w:trPr>
          <w:jc w:val="center"/>
        </w:trPr>
        <w:tc>
          <w:tcPr>
            <w:tcW w:w="2780" w:type="dxa"/>
          </w:tcPr>
          <w:p w14:paraId="3E54DBEB" w14:textId="77777777" w:rsidR="00740EC9" w:rsidRDefault="27959983" w:rsidP="00B259B7">
            <w:pPr>
              <w:pStyle w:val="ListParagraph"/>
              <w:ind w:left="0"/>
              <w:jc w:val="both"/>
            </w:pPr>
            <w:r>
              <w:t>2015/16</w:t>
            </w:r>
          </w:p>
        </w:tc>
        <w:tc>
          <w:tcPr>
            <w:tcW w:w="2817" w:type="dxa"/>
          </w:tcPr>
          <w:p w14:paraId="588599FD" w14:textId="77777777" w:rsidR="00740EC9" w:rsidRDefault="27959983" w:rsidP="00B259B7">
            <w:pPr>
              <w:pStyle w:val="ListParagraph"/>
              <w:ind w:left="0"/>
              <w:jc w:val="both"/>
            </w:pPr>
            <w:r>
              <w:t>256</w:t>
            </w:r>
          </w:p>
        </w:tc>
      </w:tr>
    </w:tbl>
    <w:p w14:paraId="537CE059" w14:textId="77777777" w:rsidR="00740EC9" w:rsidRDefault="00740EC9" w:rsidP="00B259B7">
      <w:pPr>
        <w:pStyle w:val="xmsonormal"/>
        <w:shd w:val="clear" w:color="auto" w:fill="FFFFFF"/>
        <w:spacing w:before="0" w:beforeAutospacing="0" w:after="0" w:afterAutospacing="0"/>
        <w:jc w:val="both"/>
      </w:pPr>
    </w:p>
    <w:p w14:paraId="0B910482" w14:textId="77777777" w:rsidR="00E82991" w:rsidRDefault="27959983" w:rsidP="00B259B7">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r w:rsidRPr="27959983">
        <w:rPr>
          <w:rFonts w:ascii="Calibri" w:eastAsia="Calibri" w:hAnsi="Calibri" w:cs="Calibri"/>
          <w:color w:val="000000" w:themeColor="text1"/>
          <w:sz w:val="22"/>
          <w:szCs w:val="22"/>
          <w:lang w:val="en-US"/>
        </w:rPr>
        <w:t xml:space="preserve">           </w:t>
      </w:r>
    </w:p>
    <w:p w14:paraId="4500F8F8" w14:textId="77777777" w:rsidR="00E82991" w:rsidRDefault="00E82991" w:rsidP="00B259B7">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p>
    <w:p w14:paraId="557A7390" w14:textId="77777777" w:rsidR="00E82991" w:rsidRDefault="00E82991" w:rsidP="00B259B7">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p>
    <w:p w14:paraId="68047C06" w14:textId="77777777" w:rsidR="00E82991" w:rsidRDefault="00E82991" w:rsidP="00B259B7">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p>
    <w:p w14:paraId="793326C3" w14:textId="77777777" w:rsidR="00E82991" w:rsidRDefault="00E82991" w:rsidP="00B259B7">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p>
    <w:p w14:paraId="00A26A52" w14:textId="77777777" w:rsidR="00E82991" w:rsidRDefault="00E82991" w:rsidP="00B259B7">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p>
    <w:p w14:paraId="26BC82AA" w14:textId="77777777" w:rsidR="00E82991" w:rsidRDefault="00E82991" w:rsidP="00B259B7">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p>
    <w:p w14:paraId="5F4EBB29" w14:textId="77777777" w:rsidR="00E82991" w:rsidRDefault="00E82991" w:rsidP="00B259B7">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p>
    <w:p w14:paraId="78B78BD2" w14:textId="64F9D434" w:rsidR="0041031A" w:rsidRPr="00E56D14" w:rsidRDefault="27959983" w:rsidP="00B259B7">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r w:rsidRPr="27959983">
        <w:rPr>
          <w:rFonts w:ascii="Calibri" w:eastAsia="Calibri" w:hAnsi="Calibri" w:cs="Calibri"/>
          <w:color w:val="000000" w:themeColor="text1"/>
          <w:sz w:val="22"/>
          <w:szCs w:val="22"/>
          <w:lang w:val="en-US"/>
        </w:rPr>
        <w:t>Referral forms issued by year group:</w:t>
      </w:r>
    </w:p>
    <w:p w14:paraId="347C0128" w14:textId="77777777" w:rsidR="00740EC9" w:rsidRPr="00E56D14" w:rsidRDefault="00740EC9" w:rsidP="00B259B7">
      <w:pPr>
        <w:pStyle w:val="xmsonormal"/>
        <w:shd w:val="clear" w:color="auto" w:fill="FFFFFF"/>
        <w:spacing w:before="0" w:beforeAutospacing="0" w:after="0" w:afterAutospacing="0"/>
        <w:jc w:val="both"/>
        <w:rPr>
          <w:rFonts w:ascii="Calibri" w:hAnsi="Calibri"/>
          <w:color w:val="000000"/>
          <w:sz w:val="22"/>
          <w:szCs w:val="22"/>
        </w:rPr>
      </w:pPr>
    </w:p>
    <w:tbl>
      <w:tblPr>
        <w:tblStyle w:val="TableGrid"/>
        <w:tblW w:w="0" w:type="auto"/>
        <w:tblInd w:w="720" w:type="dxa"/>
        <w:tblLook w:val="04A0" w:firstRow="1" w:lastRow="0" w:firstColumn="1" w:lastColumn="0" w:noHBand="0" w:noVBand="1"/>
      </w:tblPr>
      <w:tblGrid>
        <w:gridCol w:w="1250"/>
        <w:gridCol w:w="1152"/>
        <w:gridCol w:w="1164"/>
        <w:gridCol w:w="1157"/>
        <w:gridCol w:w="1157"/>
        <w:gridCol w:w="1182"/>
        <w:gridCol w:w="1234"/>
      </w:tblGrid>
      <w:tr w:rsidR="00DA70AB" w:rsidRPr="00E56D14" w14:paraId="1C718697" w14:textId="77777777" w:rsidTr="27959983">
        <w:tc>
          <w:tcPr>
            <w:tcW w:w="1250" w:type="dxa"/>
          </w:tcPr>
          <w:p w14:paraId="14453DC4" w14:textId="77777777" w:rsidR="00DA70AB" w:rsidRPr="00E56D14" w:rsidRDefault="00DA70AB" w:rsidP="00B259B7">
            <w:pPr>
              <w:pStyle w:val="ListParagraph"/>
              <w:ind w:left="0"/>
              <w:jc w:val="both"/>
            </w:pPr>
          </w:p>
        </w:tc>
        <w:tc>
          <w:tcPr>
            <w:tcW w:w="1152" w:type="dxa"/>
          </w:tcPr>
          <w:p w14:paraId="3F5F40B3" w14:textId="77777777" w:rsidR="00DA70AB" w:rsidRPr="00DD4CD6" w:rsidRDefault="27959983" w:rsidP="00B259B7">
            <w:pPr>
              <w:pStyle w:val="ListParagraph"/>
              <w:ind w:left="0"/>
              <w:jc w:val="both"/>
              <w:rPr>
                <w:b/>
              </w:rPr>
            </w:pPr>
            <w:r w:rsidRPr="00DD4CD6">
              <w:rPr>
                <w:b/>
              </w:rPr>
              <w:t>1st</w:t>
            </w:r>
          </w:p>
        </w:tc>
        <w:tc>
          <w:tcPr>
            <w:tcW w:w="1164" w:type="dxa"/>
          </w:tcPr>
          <w:p w14:paraId="4441EB38" w14:textId="77777777" w:rsidR="00DA70AB" w:rsidRPr="00DD4CD6" w:rsidRDefault="27959983" w:rsidP="00B259B7">
            <w:pPr>
              <w:pStyle w:val="ListParagraph"/>
              <w:ind w:left="0"/>
              <w:jc w:val="both"/>
              <w:rPr>
                <w:b/>
              </w:rPr>
            </w:pPr>
            <w:r w:rsidRPr="00DD4CD6">
              <w:rPr>
                <w:b/>
              </w:rPr>
              <w:t>2nd</w:t>
            </w:r>
          </w:p>
        </w:tc>
        <w:tc>
          <w:tcPr>
            <w:tcW w:w="1157" w:type="dxa"/>
          </w:tcPr>
          <w:p w14:paraId="2FE9952B" w14:textId="77777777" w:rsidR="00DA70AB" w:rsidRPr="00DD4CD6" w:rsidRDefault="27959983" w:rsidP="00B259B7">
            <w:pPr>
              <w:pStyle w:val="ListParagraph"/>
              <w:ind w:left="0"/>
              <w:jc w:val="both"/>
              <w:rPr>
                <w:b/>
              </w:rPr>
            </w:pPr>
            <w:r w:rsidRPr="00DD4CD6">
              <w:rPr>
                <w:b/>
              </w:rPr>
              <w:t>3rd</w:t>
            </w:r>
          </w:p>
        </w:tc>
        <w:tc>
          <w:tcPr>
            <w:tcW w:w="1157" w:type="dxa"/>
          </w:tcPr>
          <w:p w14:paraId="2F0C5396" w14:textId="77777777" w:rsidR="00DA70AB" w:rsidRPr="00DD4CD6" w:rsidRDefault="27959983" w:rsidP="00B259B7">
            <w:pPr>
              <w:pStyle w:val="ListParagraph"/>
              <w:ind w:left="0"/>
              <w:jc w:val="both"/>
              <w:rPr>
                <w:b/>
              </w:rPr>
            </w:pPr>
            <w:r w:rsidRPr="00DD4CD6">
              <w:rPr>
                <w:b/>
              </w:rPr>
              <w:t>4</w:t>
            </w:r>
            <w:r w:rsidRPr="00DD4CD6">
              <w:rPr>
                <w:b/>
                <w:vertAlign w:val="superscript"/>
              </w:rPr>
              <w:t>th</w:t>
            </w:r>
            <w:r w:rsidRPr="00DD4CD6">
              <w:rPr>
                <w:b/>
              </w:rPr>
              <w:t>, 5</w:t>
            </w:r>
            <w:r w:rsidRPr="00DD4CD6">
              <w:rPr>
                <w:b/>
                <w:vertAlign w:val="superscript"/>
              </w:rPr>
              <w:t>th</w:t>
            </w:r>
            <w:r w:rsidRPr="00DD4CD6">
              <w:rPr>
                <w:b/>
              </w:rPr>
              <w:t xml:space="preserve"> &amp; 6th</w:t>
            </w:r>
          </w:p>
        </w:tc>
        <w:tc>
          <w:tcPr>
            <w:tcW w:w="1182" w:type="dxa"/>
          </w:tcPr>
          <w:p w14:paraId="06EF677B" w14:textId="77777777" w:rsidR="00DA70AB" w:rsidRPr="00DD4CD6" w:rsidRDefault="27959983" w:rsidP="00B259B7">
            <w:pPr>
              <w:pStyle w:val="ListParagraph"/>
              <w:ind w:left="0"/>
              <w:jc w:val="both"/>
              <w:rPr>
                <w:b/>
              </w:rPr>
            </w:pPr>
            <w:r w:rsidRPr="00DD4CD6">
              <w:rPr>
                <w:b/>
              </w:rPr>
              <w:t>Total</w:t>
            </w:r>
          </w:p>
        </w:tc>
        <w:tc>
          <w:tcPr>
            <w:tcW w:w="1234" w:type="dxa"/>
          </w:tcPr>
          <w:p w14:paraId="29617FD3" w14:textId="77777777" w:rsidR="00DA70AB" w:rsidRPr="00DD4CD6" w:rsidRDefault="27959983" w:rsidP="00B259B7">
            <w:pPr>
              <w:pStyle w:val="ListParagraph"/>
              <w:ind w:left="0"/>
              <w:jc w:val="both"/>
              <w:rPr>
                <w:b/>
              </w:rPr>
            </w:pPr>
            <w:r w:rsidRPr="00DD4CD6">
              <w:rPr>
                <w:b/>
              </w:rPr>
              <w:t>% 2015/16</w:t>
            </w:r>
          </w:p>
        </w:tc>
      </w:tr>
      <w:tr w:rsidR="00DA70AB" w:rsidRPr="00E56D14" w14:paraId="703F6D12" w14:textId="77777777" w:rsidTr="27959983">
        <w:tc>
          <w:tcPr>
            <w:tcW w:w="1250" w:type="dxa"/>
          </w:tcPr>
          <w:p w14:paraId="4A450687" w14:textId="77777777" w:rsidR="00DA70AB" w:rsidRPr="00DD4CD6" w:rsidRDefault="27959983" w:rsidP="00B259B7">
            <w:pPr>
              <w:pStyle w:val="ListParagraph"/>
              <w:ind w:left="0"/>
              <w:jc w:val="both"/>
              <w:rPr>
                <w:b/>
              </w:rPr>
            </w:pPr>
            <w:r w:rsidRPr="00DD4CD6">
              <w:rPr>
                <w:rFonts w:ascii="Calibri" w:eastAsia="Calibri" w:hAnsi="Calibri" w:cs="Calibri"/>
                <w:b/>
                <w:color w:val="000000" w:themeColor="text1"/>
                <w:lang w:val="en-US"/>
              </w:rPr>
              <w:t>2015/16</w:t>
            </w:r>
          </w:p>
        </w:tc>
        <w:tc>
          <w:tcPr>
            <w:tcW w:w="1152" w:type="dxa"/>
          </w:tcPr>
          <w:p w14:paraId="5518414F" w14:textId="77777777" w:rsidR="00DA70AB" w:rsidRPr="00E56D14" w:rsidRDefault="27959983" w:rsidP="00B259B7">
            <w:pPr>
              <w:pStyle w:val="ListParagraph"/>
              <w:ind w:left="0"/>
              <w:jc w:val="both"/>
            </w:pPr>
            <w:r>
              <w:t>80</w:t>
            </w:r>
          </w:p>
        </w:tc>
        <w:tc>
          <w:tcPr>
            <w:tcW w:w="1164" w:type="dxa"/>
          </w:tcPr>
          <w:p w14:paraId="1E8E4C7E" w14:textId="77777777" w:rsidR="00DA70AB" w:rsidRPr="00E56D14" w:rsidRDefault="27959983" w:rsidP="00B259B7">
            <w:pPr>
              <w:pStyle w:val="ListParagraph"/>
              <w:ind w:left="0"/>
              <w:jc w:val="both"/>
            </w:pPr>
            <w:r>
              <w:t>48</w:t>
            </w:r>
          </w:p>
        </w:tc>
        <w:tc>
          <w:tcPr>
            <w:tcW w:w="1157" w:type="dxa"/>
          </w:tcPr>
          <w:p w14:paraId="54193A9D" w14:textId="77777777" w:rsidR="00DA70AB" w:rsidRPr="00E56D14" w:rsidRDefault="27959983" w:rsidP="00B259B7">
            <w:pPr>
              <w:pStyle w:val="ListParagraph"/>
              <w:ind w:left="0"/>
              <w:jc w:val="both"/>
            </w:pPr>
            <w:r>
              <w:t>83</w:t>
            </w:r>
          </w:p>
        </w:tc>
        <w:tc>
          <w:tcPr>
            <w:tcW w:w="1157" w:type="dxa"/>
          </w:tcPr>
          <w:p w14:paraId="66EA85C1" w14:textId="77777777" w:rsidR="00DA70AB" w:rsidRPr="00E56D14" w:rsidRDefault="27959983" w:rsidP="00B259B7">
            <w:pPr>
              <w:pStyle w:val="ListParagraph"/>
              <w:ind w:left="0"/>
              <w:jc w:val="both"/>
            </w:pPr>
            <w:r>
              <w:t>74</w:t>
            </w:r>
          </w:p>
        </w:tc>
        <w:tc>
          <w:tcPr>
            <w:tcW w:w="1182" w:type="dxa"/>
          </w:tcPr>
          <w:p w14:paraId="4E1A2C75" w14:textId="77777777" w:rsidR="00DA70AB" w:rsidRPr="00E56D14" w:rsidRDefault="27959983" w:rsidP="00B259B7">
            <w:pPr>
              <w:pStyle w:val="ListParagraph"/>
              <w:ind w:left="0"/>
              <w:jc w:val="both"/>
            </w:pPr>
            <w:r>
              <w:t>285</w:t>
            </w:r>
          </w:p>
        </w:tc>
        <w:tc>
          <w:tcPr>
            <w:tcW w:w="1234" w:type="dxa"/>
          </w:tcPr>
          <w:p w14:paraId="5D285B32" w14:textId="77777777" w:rsidR="00DA70AB" w:rsidRPr="00E56D14" w:rsidRDefault="27959983" w:rsidP="00B259B7">
            <w:pPr>
              <w:pStyle w:val="ListParagraph"/>
              <w:ind w:left="0"/>
              <w:jc w:val="both"/>
            </w:pPr>
            <w:r>
              <w:t>100%</w:t>
            </w:r>
          </w:p>
        </w:tc>
      </w:tr>
      <w:tr w:rsidR="00DA70AB" w:rsidRPr="00E56D14" w14:paraId="23A5D9FC" w14:textId="77777777" w:rsidTr="27959983">
        <w:tc>
          <w:tcPr>
            <w:tcW w:w="1250" w:type="dxa"/>
          </w:tcPr>
          <w:p w14:paraId="4C48388F" w14:textId="77777777" w:rsidR="00DA70AB" w:rsidRPr="00DD4CD6" w:rsidRDefault="27959983" w:rsidP="00B259B7">
            <w:pPr>
              <w:pStyle w:val="ListParagraph"/>
              <w:ind w:left="0"/>
              <w:jc w:val="both"/>
              <w:rPr>
                <w:b/>
              </w:rPr>
            </w:pPr>
            <w:r w:rsidRPr="00DD4CD6">
              <w:rPr>
                <w:rFonts w:ascii="Calibri" w:eastAsia="Calibri" w:hAnsi="Calibri" w:cs="Calibri"/>
                <w:b/>
                <w:color w:val="000000" w:themeColor="text1"/>
                <w:lang w:val="en-US"/>
              </w:rPr>
              <w:t>2016/17  </w:t>
            </w:r>
          </w:p>
        </w:tc>
        <w:tc>
          <w:tcPr>
            <w:tcW w:w="1152" w:type="dxa"/>
          </w:tcPr>
          <w:p w14:paraId="09AEAAE2" w14:textId="77777777" w:rsidR="00DA70AB" w:rsidRPr="00E56D14" w:rsidRDefault="27959983" w:rsidP="00B259B7">
            <w:pPr>
              <w:pStyle w:val="ListParagraph"/>
              <w:ind w:left="0"/>
              <w:jc w:val="both"/>
            </w:pPr>
            <w:r>
              <w:t>10</w:t>
            </w:r>
          </w:p>
        </w:tc>
        <w:tc>
          <w:tcPr>
            <w:tcW w:w="1164" w:type="dxa"/>
          </w:tcPr>
          <w:p w14:paraId="0CDE46EB" w14:textId="77777777" w:rsidR="00DA70AB" w:rsidRPr="00E56D14" w:rsidRDefault="27959983" w:rsidP="00B259B7">
            <w:pPr>
              <w:pStyle w:val="ListParagraph"/>
              <w:ind w:left="0"/>
              <w:jc w:val="both"/>
            </w:pPr>
            <w:r>
              <w:t>96</w:t>
            </w:r>
          </w:p>
        </w:tc>
        <w:tc>
          <w:tcPr>
            <w:tcW w:w="1157" w:type="dxa"/>
          </w:tcPr>
          <w:p w14:paraId="46535C4B" w14:textId="77777777" w:rsidR="00DA70AB" w:rsidRPr="00E56D14" w:rsidRDefault="27959983" w:rsidP="00B259B7">
            <w:pPr>
              <w:pStyle w:val="ListParagraph"/>
              <w:ind w:left="0"/>
              <w:jc w:val="both"/>
            </w:pPr>
            <w:r>
              <w:t>21</w:t>
            </w:r>
          </w:p>
        </w:tc>
        <w:tc>
          <w:tcPr>
            <w:tcW w:w="1157" w:type="dxa"/>
          </w:tcPr>
          <w:p w14:paraId="0708888F" w14:textId="77777777" w:rsidR="00DA70AB" w:rsidRPr="00E56D14" w:rsidRDefault="27959983" w:rsidP="00B259B7">
            <w:pPr>
              <w:pStyle w:val="ListParagraph"/>
              <w:ind w:left="0"/>
              <w:jc w:val="both"/>
            </w:pPr>
            <w:r>
              <w:t>51</w:t>
            </w:r>
          </w:p>
        </w:tc>
        <w:tc>
          <w:tcPr>
            <w:tcW w:w="1182" w:type="dxa"/>
          </w:tcPr>
          <w:p w14:paraId="6D6B8B39" w14:textId="77777777" w:rsidR="00DA70AB" w:rsidRPr="00E56D14" w:rsidRDefault="27959983" w:rsidP="00B259B7">
            <w:pPr>
              <w:pStyle w:val="ListParagraph"/>
              <w:ind w:left="0"/>
              <w:jc w:val="both"/>
            </w:pPr>
            <w:r>
              <w:t>178</w:t>
            </w:r>
          </w:p>
        </w:tc>
        <w:tc>
          <w:tcPr>
            <w:tcW w:w="1234" w:type="dxa"/>
          </w:tcPr>
          <w:p w14:paraId="51C8E92A" w14:textId="77777777" w:rsidR="00DA70AB" w:rsidRPr="00E56D14" w:rsidRDefault="27959983" w:rsidP="00B259B7">
            <w:pPr>
              <w:pStyle w:val="ListParagraph"/>
              <w:ind w:left="0"/>
              <w:jc w:val="both"/>
            </w:pPr>
            <w:r>
              <w:t>62%</w:t>
            </w:r>
          </w:p>
        </w:tc>
      </w:tr>
      <w:tr w:rsidR="00DA70AB" w:rsidRPr="00E56D14" w14:paraId="3273434A" w14:textId="77777777" w:rsidTr="27959983">
        <w:tc>
          <w:tcPr>
            <w:tcW w:w="1250" w:type="dxa"/>
          </w:tcPr>
          <w:p w14:paraId="2CA85757" w14:textId="77777777" w:rsidR="00DA70AB" w:rsidRPr="00DD4CD6" w:rsidRDefault="27959983" w:rsidP="00B259B7">
            <w:pPr>
              <w:pStyle w:val="ListParagraph"/>
              <w:ind w:left="0"/>
              <w:jc w:val="both"/>
              <w:rPr>
                <w:b/>
              </w:rPr>
            </w:pPr>
            <w:r w:rsidRPr="00DD4CD6">
              <w:rPr>
                <w:rFonts w:ascii="Calibri" w:eastAsia="Calibri" w:hAnsi="Calibri" w:cs="Calibri"/>
                <w:b/>
                <w:color w:val="000000" w:themeColor="text1"/>
                <w:lang w:val="en-US"/>
              </w:rPr>
              <w:t>2017/18  </w:t>
            </w:r>
          </w:p>
        </w:tc>
        <w:tc>
          <w:tcPr>
            <w:tcW w:w="1152" w:type="dxa"/>
          </w:tcPr>
          <w:p w14:paraId="512B6053" w14:textId="77777777" w:rsidR="00DA70AB" w:rsidRPr="00E56D14" w:rsidRDefault="27959983" w:rsidP="00B259B7">
            <w:pPr>
              <w:pStyle w:val="ListParagraph"/>
              <w:ind w:left="0"/>
              <w:jc w:val="both"/>
            </w:pPr>
            <w:r>
              <w:t>16</w:t>
            </w:r>
          </w:p>
        </w:tc>
        <w:tc>
          <w:tcPr>
            <w:tcW w:w="1164" w:type="dxa"/>
          </w:tcPr>
          <w:p w14:paraId="081B2114" w14:textId="77777777" w:rsidR="00DA70AB" w:rsidRPr="00E56D14" w:rsidRDefault="27959983" w:rsidP="00B259B7">
            <w:pPr>
              <w:pStyle w:val="ListParagraph"/>
              <w:ind w:left="0"/>
              <w:jc w:val="both"/>
            </w:pPr>
            <w:r>
              <w:t>21</w:t>
            </w:r>
          </w:p>
        </w:tc>
        <w:tc>
          <w:tcPr>
            <w:tcW w:w="1157" w:type="dxa"/>
          </w:tcPr>
          <w:p w14:paraId="13D0B657" w14:textId="77777777" w:rsidR="00DA70AB" w:rsidRPr="00E56D14" w:rsidRDefault="27959983" w:rsidP="00B259B7">
            <w:pPr>
              <w:pStyle w:val="ListParagraph"/>
              <w:ind w:left="0"/>
              <w:jc w:val="both"/>
            </w:pPr>
            <w:r>
              <w:t>84</w:t>
            </w:r>
          </w:p>
        </w:tc>
        <w:tc>
          <w:tcPr>
            <w:tcW w:w="1157" w:type="dxa"/>
          </w:tcPr>
          <w:p w14:paraId="48EFD250" w14:textId="77777777" w:rsidR="00DA70AB" w:rsidRPr="00E56D14" w:rsidRDefault="27959983" w:rsidP="00B259B7">
            <w:pPr>
              <w:pStyle w:val="ListParagraph"/>
              <w:ind w:left="0"/>
              <w:jc w:val="both"/>
            </w:pPr>
            <w:r>
              <w:t>16</w:t>
            </w:r>
          </w:p>
        </w:tc>
        <w:tc>
          <w:tcPr>
            <w:tcW w:w="1182" w:type="dxa"/>
          </w:tcPr>
          <w:p w14:paraId="3364356F" w14:textId="77777777" w:rsidR="00DA70AB" w:rsidRPr="00E56D14" w:rsidRDefault="27959983" w:rsidP="00B259B7">
            <w:pPr>
              <w:pStyle w:val="ListParagraph"/>
              <w:ind w:left="0"/>
              <w:jc w:val="both"/>
            </w:pPr>
            <w:r>
              <w:t>137</w:t>
            </w:r>
          </w:p>
        </w:tc>
        <w:tc>
          <w:tcPr>
            <w:tcW w:w="1234" w:type="dxa"/>
          </w:tcPr>
          <w:p w14:paraId="2662AC28" w14:textId="77777777" w:rsidR="00DA70AB" w:rsidRPr="00E56D14" w:rsidRDefault="27959983" w:rsidP="00B259B7">
            <w:pPr>
              <w:pStyle w:val="ListParagraph"/>
              <w:ind w:left="0"/>
              <w:jc w:val="both"/>
            </w:pPr>
            <w:r>
              <w:t>48%</w:t>
            </w:r>
          </w:p>
        </w:tc>
      </w:tr>
      <w:tr w:rsidR="00B00528" w:rsidRPr="00E56D14" w14:paraId="287F86D4" w14:textId="77777777" w:rsidTr="27959983">
        <w:tc>
          <w:tcPr>
            <w:tcW w:w="1250" w:type="dxa"/>
          </w:tcPr>
          <w:p w14:paraId="4F4DBAA8" w14:textId="1037FD38" w:rsidR="00B00528" w:rsidRPr="00DD4CD6" w:rsidRDefault="00B00528" w:rsidP="00B259B7">
            <w:pPr>
              <w:pStyle w:val="ListParagraph"/>
              <w:ind w:left="0"/>
              <w:jc w:val="both"/>
              <w:rPr>
                <w:rFonts w:ascii="Calibri" w:eastAsia="Calibri" w:hAnsi="Calibri" w:cs="Calibri"/>
                <w:b/>
                <w:color w:val="000000" w:themeColor="text1"/>
                <w:lang w:val="en-US"/>
              </w:rPr>
            </w:pPr>
            <w:r w:rsidRPr="00DD4CD6">
              <w:rPr>
                <w:rFonts w:ascii="Calibri" w:eastAsia="Calibri" w:hAnsi="Calibri" w:cs="Calibri"/>
                <w:b/>
                <w:color w:val="000000" w:themeColor="text1"/>
                <w:lang w:val="en-US"/>
              </w:rPr>
              <w:t>2018/19</w:t>
            </w:r>
          </w:p>
        </w:tc>
        <w:tc>
          <w:tcPr>
            <w:tcW w:w="1152" w:type="dxa"/>
          </w:tcPr>
          <w:p w14:paraId="73FE93D9" w14:textId="46420D3E" w:rsidR="00B00528" w:rsidRDefault="00B00528" w:rsidP="00B259B7">
            <w:pPr>
              <w:pStyle w:val="ListParagraph"/>
              <w:ind w:left="0"/>
              <w:jc w:val="both"/>
            </w:pPr>
            <w:r>
              <w:t>11</w:t>
            </w:r>
          </w:p>
        </w:tc>
        <w:tc>
          <w:tcPr>
            <w:tcW w:w="1164" w:type="dxa"/>
          </w:tcPr>
          <w:p w14:paraId="087ADD5A" w14:textId="5A4F5D56" w:rsidR="00B00528" w:rsidRDefault="00B00528" w:rsidP="00B259B7">
            <w:pPr>
              <w:pStyle w:val="ListParagraph"/>
              <w:ind w:left="0"/>
              <w:jc w:val="both"/>
            </w:pPr>
            <w:r>
              <w:t>49</w:t>
            </w:r>
          </w:p>
        </w:tc>
        <w:tc>
          <w:tcPr>
            <w:tcW w:w="1157" w:type="dxa"/>
          </w:tcPr>
          <w:p w14:paraId="6C8A805D" w14:textId="2C4D78D0" w:rsidR="00B00528" w:rsidRDefault="00B00528" w:rsidP="00B259B7">
            <w:pPr>
              <w:pStyle w:val="ListParagraph"/>
              <w:ind w:left="0"/>
              <w:jc w:val="both"/>
            </w:pPr>
            <w:r>
              <w:t>20</w:t>
            </w:r>
          </w:p>
        </w:tc>
        <w:tc>
          <w:tcPr>
            <w:tcW w:w="1157" w:type="dxa"/>
          </w:tcPr>
          <w:p w14:paraId="186B523E" w14:textId="057707C4" w:rsidR="00B00528" w:rsidRDefault="00B00528" w:rsidP="00B259B7">
            <w:pPr>
              <w:pStyle w:val="ListParagraph"/>
              <w:ind w:left="0"/>
              <w:jc w:val="both"/>
            </w:pPr>
            <w:r>
              <w:t>26</w:t>
            </w:r>
          </w:p>
        </w:tc>
        <w:tc>
          <w:tcPr>
            <w:tcW w:w="1182" w:type="dxa"/>
          </w:tcPr>
          <w:p w14:paraId="683EE212" w14:textId="7CF8656D" w:rsidR="00B00528" w:rsidRDefault="00B00528" w:rsidP="00B259B7">
            <w:pPr>
              <w:pStyle w:val="ListParagraph"/>
              <w:ind w:left="0"/>
              <w:jc w:val="both"/>
            </w:pPr>
            <w:r>
              <w:t>105</w:t>
            </w:r>
          </w:p>
        </w:tc>
        <w:tc>
          <w:tcPr>
            <w:tcW w:w="1234" w:type="dxa"/>
          </w:tcPr>
          <w:p w14:paraId="4F73CCAA" w14:textId="15CA0879" w:rsidR="00B00528" w:rsidRDefault="00B00528" w:rsidP="00B259B7">
            <w:pPr>
              <w:pStyle w:val="ListParagraph"/>
              <w:ind w:left="0"/>
              <w:jc w:val="both"/>
            </w:pPr>
            <w:r>
              <w:t>37%</w:t>
            </w:r>
          </w:p>
        </w:tc>
      </w:tr>
      <w:tr w:rsidR="00B259B7" w:rsidRPr="00E56D14" w14:paraId="792DA4A6" w14:textId="77777777" w:rsidTr="27959983">
        <w:tc>
          <w:tcPr>
            <w:tcW w:w="1250" w:type="dxa"/>
          </w:tcPr>
          <w:p w14:paraId="47763F5B" w14:textId="0D2CF1AD" w:rsidR="00B259B7" w:rsidRPr="00DD4CD6" w:rsidRDefault="00B259B7" w:rsidP="00B259B7">
            <w:pPr>
              <w:pStyle w:val="ListParagraph"/>
              <w:ind w:left="0"/>
              <w:jc w:val="both"/>
              <w:rPr>
                <w:rFonts w:ascii="Calibri" w:eastAsia="Calibri" w:hAnsi="Calibri" w:cs="Calibri"/>
                <w:b/>
                <w:color w:val="000000" w:themeColor="text1"/>
                <w:lang w:val="en-US"/>
              </w:rPr>
            </w:pPr>
            <w:r>
              <w:rPr>
                <w:rFonts w:ascii="Calibri" w:eastAsia="Calibri" w:hAnsi="Calibri" w:cs="Calibri"/>
                <w:b/>
                <w:color w:val="000000" w:themeColor="text1"/>
                <w:lang w:val="en-US"/>
              </w:rPr>
              <w:t>2019/20</w:t>
            </w:r>
          </w:p>
        </w:tc>
        <w:tc>
          <w:tcPr>
            <w:tcW w:w="1152" w:type="dxa"/>
          </w:tcPr>
          <w:p w14:paraId="1E694FDE" w14:textId="77777777" w:rsidR="00B259B7" w:rsidRDefault="00B259B7" w:rsidP="00B259B7">
            <w:pPr>
              <w:pStyle w:val="ListParagraph"/>
              <w:ind w:left="0"/>
              <w:jc w:val="both"/>
            </w:pPr>
          </w:p>
        </w:tc>
        <w:tc>
          <w:tcPr>
            <w:tcW w:w="1164" w:type="dxa"/>
          </w:tcPr>
          <w:p w14:paraId="4929A7E7" w14:textId="77777777" w:rsidR="00B259B7" w:rsidRDefault="00B259B7" w:rsidP="00B259B7">
            <w:pPr>
              <w:pStyle w:val="ListParagraph"/>
              <w:ind w:left="0"/>
              <w:jc w:val="both"/>
            </w:pPr>
          </w:p>
        </w:tc>
        <w:tc>
          <w:tcPr>
            <w:tcW w:w="1157" w:type="dxa"/>
          </w:tcPr>
          <w:p w14:paraId="5E1B21DB" w14:textId="77777777" w:rsidR="00B259B7" w:rsidRDefault="00B259B7" w:rsidP="00B259B7">
            <w:pPr>
              <w:pStyle w:val="ListParagraph"/>
              <w:ind w:left="0"/>
              <w:jc w:val="both"/>
            </w:pPr>
          </w:p>
        </w:tc>
        <w:tc>
          <w:tcPr>
            <w:tcW w:w="1157" w:type="dxa"/>
          </w:tcPr>
          <w:p w14:paraId="51EEBFB3" w14:textId="77777777" w:rsidR="00B259B7" w:rsidRDefault="00B259B7" w:rsidP="00B259B7">
            <w:pPr>
              <w:pStyle w:val="ListParagraph"/>
              <w:ind w:left="0"/>
              <w:jc w:val="both"/>
            </w:pPr>
          </w:p>
        </w:tc>
        <w:tc>
          <w:tcPr>
            <w:tcW w:w="1182" w:type="dxa"/>
          </w:tcPr>
          <w:p w14:paraId="4F3D1A81" w14:textId="77777777" w:rsidR="00B259B7" w:rsidRDefault="00B259B7" w:rsidP="00B259B7">
            <w:pPr>
              <w:pStyle w:val="ListParagraph"/>
              <w:ind w:left="0"/>
              <w:jc w:val="both"/>
            </w:pPr>
          </w:p>
        </w:tc>
        <w:tc>
          <w:tcPr>
            <w:tcW w:w="1234" w:type="dxa"/>
          </w:tcPr>
          <w:p w14:paraId="762EB6F4" w14:textId="2BE85284" w:rsidR="00B259B7" w:rsidRDefault="00B259B7" w:rsidP="00B259B7">
            <w:pPr>
              <w:pStyle w:val="ListParagraph"/>
              <w:ind w:left="0"/>
              <w:jc w:val="both"/>
            </w:pPr>
            <w:r>
              <w:t>30% (TARGET)</w:t>
            </w:r>
          </w:p>
        </w:tc>
      </w:tr>
    </w:tbl>
    <w:p w14:paraId="5B537902" w14:textId="649FA56F" w:rsidR="00D07392" w:rsidRDefault="00D07392" w:rsidP="00B259B7">
      <w:pPr>
        <w:pStyle w:val="ListParagraph"/>
        <w:jc w:val="both"/>
      </w:pPr>
    </w:p>
    <w:p w14:paraId="36332D55" w14:textId="345F8D6B" w:rsidR="00D07392" w:rsidRPr="00D07392" w:rsidRDefault="00D07392" w:rsidP="00D07392">
      <w:pPr>
        <w:jc w:val="both"/>
        <w:rPr>
          <w:b/>
        </w:rPr>
      </w:pPr>
      <w:r w:rsidRPr="00D07392">
        <w:rPr>
          <w:b/>
        </w:rPr>
        <w:t>Literacy</w:t>
      </w:r>
      <w:r w:rsidR="00A92000">
        <w:rPr>
          <w:b/>
        </w:rPr>
        <w:t>:</w:t>
      </w:r>
    </w:p>
    <w:p w14:paraId="7AADAB39" w14:textId="31BEC071" w:rsidR="00DA70AB" w:rsidRDefault="27959983" w:rsidP="00E82991">
      <w:pPr>
        <w:jc w:val="both"/>
      </w:pPr>
      <w:r>
        <w:t>Junior Cycle students were issued a questionnaire regarding reading habits</w:t>
      </w:r>
      <w:r w:rsidR="0020700B">
        <w:t xml:space="preserve"> in the 2017/18 year</w:t>
      </w:r>
      <w:r>
        <w:t>. The result</w:t>
      </w:r>
      <w:r w:rsidR="0020700B">
        <w:t xml:space="preserve">s of the questionnaire were analysed and St. Ailbe’s in response to </w:t>
      </w:r>
      <w:r w:rsidR="00E82991">
        <w:t>these</w:t>
      </w:r>
      <w:r>
        <w:t xml:space="preserve"> two strategies </w:t>
      </w:r>
      <w:r w:rsidR="00DD4CD6">
        <w:t xml:space="preserve">were rolled out </w:t>
      </w:r>
      <w:r>
        <w:t>to encourage more reading among younger students</w:t>
      </w:r>
      <w:r w:rsidR="00DD4CD6">
        <w:t xml:space="preserve"> </w:t>
      </w:r>
      <w:r w:rsidR="0020700B">
        <w:t>in 2018/19</w:t>
      </w:r>
      <w:r>
        <w:t>. All 1</w:t>
      </w:r>
      <w:r w:rsidRPr="00E82991">
        <w:rPr>
          <w:vertAlign w:val="superscript"/>
        </w:rPr>
        <w:t>st</w:t>
      </w:r>
      <w:r>
        <w:t xml:space="preserve"> year students </w:t>
      </w:r>
      <w:r w:rsidR="0020700B">
        <w:t>availed</w:t>
      </w:r>
      <w:r>
        <w:t xml:space="preserve"> of a rolling reading cla</w:t>
      </w:r>
      <w:r w:rsidR="0020700B">
        <w:t>ss every week which</w:t>
      </w:r>
      <w:r>
        <w:t xml:space="preserve"> encourage</w:t>
      </w:r>
      <w:r w:rsidR="00B00528">
        <w:t>s</w:t>
      </w:r>
      <w:r>
        <w:t xml:space="preserve"> more frequent reading. All incomi</w:t>
      </w:r>
      <w:r w:rsidR="0020700B">
        <w:t>ng fir</w:t>
      </w:r>
      <w:r w:rsidR="00662A75">
        <w:t>st yea</w:t>
      </w:r>
      <w:r w:rsidR="00B00528">
        <w:t xml:space="preserve">rs </w:t>
      </w:r>
      <w:r w:rsidR="00662A75">
        <w:t>also undertook</w:t>
      </w:r>
      <w:r w:rsidR="00D07392">
        <w:t xml:space="preserve"> a 4</w:t>
      </w:r>
      <w:r w:rsidR="00E82991">
        <w:t>-</w:t>
      </w:r>
      <w:r>
        <w:t xml:space="preserve">week intensive literacy programme during the option tasters. </w:t>
      </w:r>
      <w:r w:rsidR="00B00528">
        <w:t xml:space="preserve">Both of these activities will continue into 2019/20.  </w:t>
      </w:r>
      <w:r>
        <w:t>All other literacy initiatives already in place (e.g. paired readin</w:t>
      </w:r>
      <w:r w:rsidR="0020700B">
        <w:t>g, one book one community</w:t>
      </w:r>
      <w:r w:rsidR="00B00528">
        <w:t>, library visits, etc.</w:t>
      </w:r>
      <w:r w:rsidR="0020700B">
        <w:t xml:space="preserve">) </w:t>
      </w:r>
      <w:r>
        <w:t>continue</w:t>
      </w:r>
      <w:r w:rsidR="007B1217">
        <w:t>d</w:t>
      </w:r>
      <w:r>
        <w:t xml:space="preserve"> to be implemented.</w:t>
      </w:r>
      <w:r w:rsidR="007B1217">
        <w:t xml:space="preserve"> </w:t>
      </w:r>
      <w:r w:rsidR="00662A75">
        <w:t>St. Ailbe’s was awarded the ‘Well Read’ award for its pa</w:t>
      </w:r>
      <w:r w:rsidR="006306DF">
        <w:t>rticipation in so many literacy-</w:t>
      </w:r>
      <w:r w:rsidR="00662A75">
        <w:t xml:space="preserve">based activities and events. </w:t>
      </w:r>
    </w:p>
    <w:p w14:paraId="6BADD0D5" w14:textId="3705A4A2" w:rsidR="00D07392" w:rsidRPr="00D07392" w:rsidRDefault="00E82991" w:rsidP="00D07392">
      <w:pPr>
        <w:jc w:val="both"/>
        <w:rPr>
          <w:b/>
        </w:rPr>
      </w:pPr>
      <w:r>
        <w:rPr>
          <w:b/>
        </w:rPr>
        <w:t xml:space="preserve">Use of </w:t>
      </w:r>
      <w:r w:rsidR="00D07392" w:rsidRPr="00D07392">
        <w:rPr>
          <w:b/>
        </w:rPr>
        <w:t>the School Journal</w:t>
      </w:r>
      <w:r w:rsidR="00A92000">
        <w:rPr>
          <w:b/>
        </w:rPr>
        <w:t>:</w:t>
      </w:r>
    </w:p>
    <w:p w14:paraId="5DCF956F" w14:textId="3CCD798A" w:rsidR="00E56D14" w:rsidRDefault="27959983" w:rsidP="00E82991">
      <w:pPr>
        <w:jc w:val="both"/>
      </w:pPr>
      <w:r>
        <w:t xml:space="preserve">In order to promote the correct use and monitoring of the school journal a class teacher was appointed </w:t>
      </w:r>
      <w:bookmarkStart w:id="0" w:name="_GoBack"/>
      <w:bookmarkEnd w:id="0"/>
      <w:r>
        <w:t>to each junior cycle class. This permitted the weekly monitoring of student journals with immediate feedback provided to the year heads and follow up communication with the student and parent where appropriate. This system worked very well and w</w:t>
      </w:r>
      <w:r w:rsidR="00662A75">
        <w:t>ill be continued in the 2019/20</w:t>
      </w:r>
      <w:r w:rsidR="008941E3">
        <w:t xml:space="preserve"> </w:t>
      </w:r>
      <w:r>
        <w:t>school year.</w:t>
      </w:r>
      <w:r w:rsidR="006306DF">
        <w:t xml:space="preserve"> A review of our current school journal will take place in 2019/20 along with a review of our code of behaviour.</w:t>
      </w:r>
    </w:p>
    <w:p w14:paraId="31BC7A47" w14:textId="085E20D7" w:rsidR="00D07392" w:rsidRPr="005D2BE5" w:rsidRDefault="00D07392" w:rsidP="00D07392">
      <w:pPr>
        <w:jc w:val="both"/>
        <w:rPr>
          <w:b/>
        </w:rPr>
      </w:pPr>
      <w:r w:rsidRPr="005D2BE5">
        <w:rPr>
          <w:b/>
        </w:rPr>
        <w:t xml:space="preserve">SEN </w:t>
      </w:r>
      <w:r w:rsidR="005D2BE5" w:rsidRPr="005D2BE5">
        <w:rPr>
          <w:b/>
        </w:rPr>
        <w:t>Self-Evaluation</w:t>
      </w:r>
      <w:r w:rsidR="00A92000">
        <w:rPr>
          <w:b/>
        </w:rPr>
        <w:t>:</w:t>
      </w:r>
    </w:p>
    <w:p w14:paraId="47B9F6D7" w14:textId="1FB1BB51" w:rsidR="00B47679" w:rsidRDefault="27959983" w:rsidP="00E82991">
      <w:pPr>
        <w:jc w:val="both"/>
      </w:pPr>
      <w:r>
        <w:t xml:space="preserve">In response to DES Circular 0013/2017 and the associated ‘Guidelines for Post-Primary Schools – Supporting Students with Special Educational Needs in Mainstream Schools’ a review of SEN policy and provision was undertaken in September 2017. Among the steps we have </w:t>
      </w:r>
      <w:r w:rsidR="006306DF">
        <w:t xml:space="preserve">already </w:t>
      </w:r>
      <w:r>
        <w:t xml:space="preserve">taken are: </w:t>
      </w:r>
    </w:p>
    <w:p w14:paraId="0628F3E8" w14:textId="56F8550E" w:rsidR="00B47679" w:rsidRDefault="27959983" w:rsidP="00E82991">
      <w:pPr>
        <w:pStyle w:val="ListParagraph"/>
        <w:numPr>
          <w:ilvl w:val="0"/>
          <w:numId w:val="10"/>
        </w:numPr>
        <w:jc w:val="both"/>
      </w:pPr>
      <w:r>
        <w:t xml:space="preserve">Establishment of SEN team consisting of a core of 5 qualified SEN teachers and the Deputy Principal </w:t>
      </w:r>
    </w:p>
    <w:p w14:paraId="7D53BA5D" w14:textId="38A1EF52" w:rsidR="00B47679" w:rsidRDefault="27959983" w:rsidP="00E82991">
      <w:pPr>
        <w:pStyle w:val="ListParagraph"/>
        <w:numPr>
          <w:ilvl w:val="0"/>
          <w:numId w:val="10"/>
        </w:numPr>
        <w:jc w:val="both"/>
      </w:pPr>
      <w:r>
        <w:t>Weekly time-tabled SEN team meetings</w:t>
      </w:r>
    </w:p>
    <w:p w14:paraId="6EF22AC3" w14:textId="3766F342" w:rsidR="00B47679" w:rsidRDefault="27959983" w:rsidP="00E82991">
      <w:pPr>
        <w:pStyle w:val="ListParagraph"/>
        <w:numPr>
          <w:ilvl w:val="0"/>
          <w:numId w:val="10"/>
        </w:numPr>
        <w:jc w:val="both"/>
      </w:pPr>
      <w:r>
        <w:t xml:space="preserve">Extensive use of Microsoft Excel for identification of needs, target setting and review </w:t>
      </w:r>
    </w:p>
    <w:p w14:paraId="7473FB31" w14:textId="038EF5FC" w:rsidR="00B47679" w:rsidRDefault="27959983" w:rsidP="00E82991">
      <w:pPr>
        <w:pStyle w:val="ListParagraph"/>
        <w:numPr>
          <w:ilvl w:val="0"/>
          <w:numId w:val="10"/>
        </w:numPr>
        <w:jc w:val="both"/>
      </w:pPr>
      <w:r>
        <w:t xml:space="preserve">Production of Individual Student Plans for all students in the school with SEN </w:t>
      </w:r>
    </w:p>
    <w:p w14:paraId="4A0E2CA0" w14:textId="1E7F7135" w:rsidR="00B47679" w:rsidRDefault="27959983" w:rsidP="00E82991">
      <w:pPr>
        <w:pStyle w:val="ListParagraph"/>
        <w:numPr>
          <w:ilvl w:val="0"/>
          <w:numId w:val="10"/>
        </w:numPr>
        <w:jc w:val="both"/>
      </w:pPr>
      <w:r>
        <w:t xml:space="preserve">Timetabling of SEN has now been prioritised and extensive use of qualified SEN teachers is made. </w:t>
      </w:r>
    </w:p>
    <w:p w14:paraId="05D041FD" w14:textId="77777777" w:rsidR="009D2F2B" w:rsidRDefault="27959983" w:rsidP="00E82991">
      <w:pPr>
        <w:pStyle w:val="ListParagraph"/>
        <w:numPr>
          <w:ilvl w:val="0"/>
          <w:numId w:val="10"/>
        </w:numPr>
        <w:jc w:val="both"/>
      </w:pPr>
      <w:r>
        <w:t xml:space="preserve">Recommendations and targets for individual students are shared with classroom teachers </w:t>
      </w:r>
    </w:p>
    <w:p w14:paraId="5F9D9B99" w14:textId="0179E566" w:rsidR="00B47679" w:rsidRDefault="27959983" w:rsidP="00E82991">
      <w:pPr>
        <w:pStyle w:val="ListParagraph"/>
        <w:numPr>
          <w:ilvl w:val="0"/>
          <w:numId w:val="10"/>
        </w:numPr>
        <w:jc w:val="both"/>
      </w:pPr>
      <w:r>
        <w:t xml:space="preserve">We have built capacity in the area of SEN teaching by providing in-house CPD in this area to all staff </w:t>
      </w:r>
    </w:p>
    <w:p w14:paraId="4BBA8FEF" w14:textId="3DF1B1E0" w:rsidR="009012D0" w:rsidRDefault="27959983" w:rsidP="00E82991">
      <w:pPr>
        <w:pStyle w:val="ListParagraph"/>
        <w:numPr>
          <w:ilvl w:val="0"/>
          <w:numId w:val="10"/>
        </w:numPr>
        <w:jc w:val="both"/>
      </w:pPr>
      <w:r>
        <w:t>Information regarding incoming 1st year students is shared in a briefing session at the start of the year</w:t>
      </w:r>
    </w:p>
    <w:p w14:paraId="49CFA4CA" w14:textId="26509A27" w:rsidR="00B47679" w:rsidRDefault="00B47679" w:rsidP="005D2BE5">
      <w:pPr>
        <w:ind w:left="1800"/>
        <w:jc w:val="both"/>
      </w:pPr>
    </w:p>
    <w:p w14:paraId="6EE16BFC" w14:textId="00318A54" w:rsidR="009D2F2B" w:rsidRDefault="009D2F2B" w:rsidP="00D07392">
      <w:pPr>
        <w:pStyle w:val="ListParagraph"/>
        <w:ind w:left="2160"/>
        <w:jc w:val="both"/>
      </w:pPr>
    </w:p>
    <w:p w14:paraId="048BD5B5" w14:textId="452BEE85" w:rsidR="00B00528" w:rsidRDefault="00B00528" w:rsidP="00B259B7">
      <w:pPr>
        <w:pStyle w:val="ListParagraph"/>
        <w:ind w:left="2160"/>
        <w:jc w:val="both"/>
      </w:pPr>
    </w:p>
    <w:p w14:paraId="416A4E31" w14:textId="4A8BDC49" w:rsidR="00B00528" w:rsidRDefault="008941E3" w:rsidP="00E82991">
      <w:pPr>
        <w:pStyle w:val="ListParagraph"/>
        <w:numPr>
          <w:ilvl w:val="0"/>
          <w:numId w:val="10"/>
        </w:numPr>
        <w:jc w:val="both"/>
      </w:pPr>
      <w:r>
        <w:t xml:space="preserve">A representative of the NCSE provided in-service to both the whole staff and the SEN team to </w:t>
      </w:r>
      <w:r w:rsidR="00EF042C">
        <w:t xml:space="preserve">assist us in </w:t>
      </w:r>
      <w:r>
        <w:t>evalua</w:t>
      </w:r>
      <w:r w:rsidR="00EF042C">
        <w:t xml:space="preserve">ting </w:t>
      </w:r>
      <w:r w:rsidR="00DD4CD6">
        <w:t>our success at implemen</w:t>
      </w:r>
      <w:r>
        <w:t>ting the changes brought about by the above circulars.</w:t>
      </w:r>
    </w:p>
    <w:p w14:paraId="77236AFC" w14:textId="006BDE1C" w:rsidR="008941E3" w:rsidRDefault="008941E3" w:rsidP="00E82991">
      <w:pPr>
        <w:pStyle w:val="ListParagraph"/>
        <w:numPr>
          <w:ilvl w:val="0"/>
          <w:numId w:val="10"/>
        </w:numPr>
        <w:jc w:val="both"/>
      </w:pPr>
      <w:r>
        <w:t>The SEN team continued the policy of visiting those primary schools with SEN students who have enrolled in St. Ailbe’</w:t>
      </w:r>
      <w:r w:rsidR="00DD4CD6">
        <w:t>s</w:t>
      </w:r>
      <w:r>
        <w:t xml:space="preserve">. Anecdotally we understand that these visits are very well regarded and are of great benefit to all concerned. </w:t>
      </w:r>
      <w:r w:rsidR="00DD4CD6">
        <w:t xml:space="preserve"> </w:t>
      </w:r>
    </w:p>
    <w:p w14:paraId="4780DD84" w14:textId="3B90D31D" w:rsidR="00D07392" w:rsidRDefault="006306DF" w:rsidP="00E82991">
      <w:pPr>
        <w:pStyle w:val="ListParagraph"/>
        <w:numPr>
          <w:ilvl w:val="0"/>
          <w:numId w:val="10"/>
        </w:numPr>
        <w:jc w:val="both"/>
      </w:pPr>
      <w:r>
        <w:t>During the year another staff member qualified as an SEN teacher bringing to 6 the total number of fully qualified SEN teachers in St. Ailbe’s.</w:t>
      </w:r>
    </w:p>
    <w:p w14:paraId="3DFFD70D" w14:textId="3D3051A2" w:rsidR="00D07392" w:rsidRPr="00D07392" w:rsidRDefault="00D07392" w:rsidP="00D07392">
      <w:pPr>
        <w:ind w:left="720"/>
        <w:jc w:val="both"/>
        <w:rPr>
          <w:b/>
        </w:rPr>
      </w:pPr>
    </w:p>
    <w:p w14:paraId="01B898C9" w14:textId="419356C4" w:rsidR="00D07392" w:rsidRPr="00D07392" w:rsidRDefault="00D07392" w:rsidP="00D07392">
      <w:pPr>
        <w:jc w:val="both"/>
        <w:rPr>
          <w:b/>
        </w:rPr>
      </w:pPr>
      <w:r w:rsidRPr="00D07392">
        <w:rPr>
          <w:b/>
        </w:rPr>
        <w:t>Review of policies</w:t>
      </w:r>
      <w:r w:rsidR="00A92000">
        <w:rPr>
          <w:b/>
        </w:rPr>
        <w:t>:</w:t>
      </w:r>
    </w:p>
    <w:p w14:paraId="04709153" w14:textId="1086EABF" w:rsidR="009D2F2B" w:rsidRDefault="27959983" w:rsidP="00E82991">
      <w:pPr>
        <w:jc w:val="both"/>
      </w:pPr>
      <w:r>
        <w:t>The following policies were reviewed/prepared</w:t>
      </w:r>
      <w:r w:rsidR="00662A75">
        <w:t xml:space="preserve"> in 2018/19</w:t>
      </w:r>
      <w:r>
        <w:t>:</w:t>
      </w:r>
    </w:p>
    <w:p w14:paraId="588BCB7F" w14:textId="79BEB7F7" w:rsidR="009D2F2B" w:rsidRDefault="009D2F2B" w:rsidP="00B259B7">
      <w:pPr>
        <w:pStyle w:val="ListParagraph"/>
        <w:jc w:val="both"/>
      </w:pPr>
    </w:p>
    <w:p w14:paraId="22225FEF" w14:textId="6A22A12E" w:rsidR="00662A75" w:rsidRDefault="00662A75" w:rsidP="00E82991">
      <w:pPr>
        <w:pStyle w:val="ListParagraph"/>
        <w:numPr>
          <w:ilvl w:val="0"/>
          <w:numId w:val="11"/>
        </w:numPr>
        <w:jc w:val="both"/>
      </w:pPr>
      <w:r>
        <w:t xml:space="preserve">Procedures for the administration of medication to pupils </w:t>
      </w:r>
    </w:p>
    <w:p w14:paraId="1BC71CE2" w14:textId="1AEEFB0D" w:rsidR="00662A75" w:rsidRDefault="00662A75" w:rsidP="00E82991">
      <w:pPr>
        <w:pStyle w:val="ListParagraph"/>
        <w:numPr>
          <w:ilvl w:val="0"/>
          <w:numId w:val="11"/>
        </w:numPr>
        <w:jc w:val="both"/>
      </w:pPr>
      <w:r>
        <w:t xml:space="preserve">Procedures for the use of external persons to supplement delivery of the curriculum </w:t>
      </w:r>
    </w:p>
    <w:p w14:paraId="40ABC166" w14:textId="5D098D4F" w:rsidR="00662A75" w:rsidRDefault="00662A75" w:rsidP="00E82991">
      <w:pPr>
        <w:pStyle w:val="ListParagraph"/>
        <w:numPr>
          <w:ilvl w:val="0"/>
          <w:numId w:val="11"/>
        </w:numPr>
        <w:jc w:val="both"/>
      </w:pPr>
      <w:r>
        <w:t xml:space="preserve">Health and safety policy </w:t>
      </w:r>
    </w:p>
    <w:p w14:paraId="182741D8" w14:textId="43B049BC" w:rsidR="00662A75" w:rsidRDefault="00662A75" w:rsidP="00E82991">
      <w:pPr>
        <w:pStyle w:val="ListParagraph"/>
        <w:numPr>
          <w:ilvl w:val="0"/>
          <w:numId w:val="11"/>
        </w:numPr>
        <w:jc w:val="both"/>
      </w:pPr>
      <w:r>
        <w:t xml:space="preserve">Procedures in respect of school outings </w:t>
      </w:r>
    </w:p>
    <w:p w14:paraId="24A484C7" w14:textId="633D90E3" w:rsidR="00662A75" w:rsidRDefault="00662A75" w:rsidP="00E82991">
      <w:pPr>
        <w:pStyle w:val="ListParagraph"/>
        <w:numPr>
          <w:ilvl w:val="0"/>
          <w:numId w:val="11"/>
        </w:numPr>
        <w:jc w:val="both"/>
      </w:pPr>
      <w:r>
        <w:t>Critical Incident Policy</w:t>
      </w:r>
    </w:p>
    <w:p w14:paraId="4BEC4981" w14:textId="6035F6B2" w:rsidR="00BF3F84" w:rsidRPr="005D2BE5" w:rsidRDefault="005D2BE5" w:rsidP="00B259B7">
      <w:pPr>
        <w:jc w:val="both"/>
        <w:rPr>
          <w:b/>
        </w:rPr>
      </w:pPr>
      <w:r w:rsidRPr="005D2BE5">
        <w:rPr>
          <w:b/>
        </w:rPr>
        <w:t>D</w:t>
      </w:r>
      <w:r w:rsidR="00A92000">
        <w:rPr>
          <w:b/>
        </w:rPr>
        <w:t>igital learning Strategy Review:</w:t>
      </w:r>
    </w:p>
    <w:p w14:paraId="4EFC7A2A" w14:textId="3D2A8C5D" w:rsidR="005D2BE5" w:rsidRDefault="00E82991" w:rsidP="00A92000">
      <w:pPr>
        <w:jc w:val="both"/>
      </w:pPr>
      <w:r>
        <w:t>Our Digital L</w:t>
      </w:r>
      <w:r w:rsidR="005D2BE5">
        <w:t xml:space="preserve">earning Strategy was reviewed in May. </w:t>
      </w:r>
      <w:r>
        <w:t xml:space="preserve">A plan </w:t>
      </w:r>
      <w:r w:rsidR="005D2BE5">
        <w:t>was drawn up for implementation in September 2019. A student survey issued in January 2019 assisted in the formulation of the plan below:</w:t>
      </w:r>
    </w:p>
    <w:p w14:paraId="3F8C91B6" w14:textId="1D06AF6A" w:rsidR="005D2BE5" w:rsidRDefault="005D2BE5" w:rsidP="005D2BE5">
      <w:pPr>
        <w:pStyle w:val="ListParagraph"/>
        <w:jc w:val="both"/>
      </w:pPr>
    </w:p>
    <w:p w14:paraId="1E1DED5B" w14:textId="77777777" w:rsidR="005D2BE5" w:rsidRDefault="005D2BE5" w:rsidP="005D2BE5">
      <w:pPr>
        <w:pStyle w:val="ListParagraph"/>
        <w:jc w:val="both"/>
      </w:pPr>
      <w:r>
        <w:t>•</w:t>
      </w:r>
      <w:r>
        <w:tab/>
        <w:t>Plan Spend of ICT Grant, April 2019</w:t>
      </w:r>
    </w:p>
    <w:p w14:paraId="7D278928" w14:textId="5224A714" w:rsidR="005D2BE5" w:rsidRDefault="005D2BE5" w:rsidP="00E82991">
      <w:pPr>
        <w:pStyle w:val="ListParagraph"/>
        <w:numPr>
          <w:ilvl w:val="2"/>
          <w:numId w:val="1"/>
        </w:numPr>
        <w:jc w:val="both"/>
      </w:pPr>
      <w:r>
        <w:t>9 high end PC’s for computer room</w:t>
      </w:r>
    </w:p>
    <w:p w14:paraId="70C5C036" w14:textId="2AC21155" w:rsidR="005D2BE5" w:rsidRDefault="005D2BE5" w:rsidP="00E82991">
      <w:pPr>
        <w:pStyle w:val="ListParagraph"/>
        <w:numPr>
          <w:ilvl w:val="2"/>
          <w:numId w:val="1"/>
        </w:numPr>
        <w:jc w:val="both"/>
      </w:pPr>
      <w:r>
        <w:t>2 Refurbished laptop’s</w:t>
      </w:r>
    </w:p>
    <w:p w14:paraId="6D6BBB0B" w14:textId="7EE6CCEF" w:rsidR="005D2BE5" w:rsidRDefault="005D2BE5" w:rsidP="00E82991">
      <w:pPr>
        <w:pStyle w:val="ListParagraph"/>
        <w:numPr>
          <w:ilvl w:val="2"/>
          <w:numId w:val="1"/>
        </w:numPr>
        <w:jc w:val="both"/>
      </w:pPr>
      <w:r>
        <w:t>3 Surface Go’s</w:t>
      </w:r>
    </w:p>
    <w:p w14:paraId="58F396B2" w14:textId="25320612" w:rsidR="005D2BE5" w:rsidRDefault="005D2BE5" w:rsidP="00E82991">
      <w:pPr>
        <w:pStyle w:val="ListParagraph"/>
        <w:numPr>
          <w:ilvl w:val="2"/>
          <w:numId w:val="1"/>
        </w:numPr>
        <w:jc w:val="both"/>
      </w:pPr>
      <w:r>
        <w:t>Upgrade 2 data projectors</w:t>
      </w:r>
    </w:p>
    <w:p w14:paraId="13E914B1" w14:textId="14826C07" w:rsidR="005D2BE5" w:rsidRDefault="005D2BE5" w:rsidP="00E82991">
      <w:pPr>
        <w:pStyle w:val="ListParagraph"/>
        <w:numPr>
          <w:ilvl w:val="2"/>
          <w:numId w:val="1"/>
        </w:numPr>
        <w:jc w:val="both"/>
      </w:pPr>
      <w:r>
        <w:t xml:space="preserve">Replace 3 switches with </w:t>
      </w:r>
      <w:proofErr w:type="spellStart"/>
      <w:r>
        <w:t>PoE</w:t>
      </w:r>
      <w:proofErr w:type="spellEnd"/>
      <w:r>
        <w:t xml:space="preserve"> versions (All switches need replacing)</w:t>
      </w:r>
    </w:p>
    <w:p w14:paraId="6FCB7E99" w14:textId="77777777" w:rsidR="005D2BE5" w:rsidRDefault="005D2BE5" w:rsidP="005D2BE5">
      <w:pPr>
        <w:pStyle w:val="ListParagraph"/>
        <w:jc w:val="both"/>
      </w:pPr>
      <w:r>
        <w:t>•</w:t>
      </w:r>
      <w:r>
        <w:tab/>
        <w:t>New Server if extra funding arrives and Tipperary ETB allow</w:t>
      </w:r>
    </w:p>
    <w:p w14:paraId="6CC4AB8A" w14:textId="77777777" w:rsidR="005D2BE5" w:rsidRDefault="005D2BE5" w:rsidP="005D2BE5">
      <w:pPr>
        <w:pStyle w:val="ListParagraph"/>
        <w:jc w:val="both"/>
      </w:pPr>
      <w:r>
        <w:t>•</w:t>
      </w:r>
      <w:r>
        <w:tab/>
        <w:t>Staff training in cloud computing</w:t>
      </w:r>
    </w:p>
    <w:p w14:paraId="4FF5C5FE" w14:textId="77777777" w:rsidR="005D2BE5" w:rsidRDefault="005D2BE5" w:rsidP="005D2BE5">
      <w:pPr>
        <w:pStyle w:val="ListParagraph"/>
        <w:jc w:val="both"/>
      </w:pPr>
      <w:r>
        <w:t>•</w:t>
      </w:r>
      <w:r>
        <w:tab/>
        <w:t>Develop subject/teacher websites for sharing material with students</w:t>
      </w:r>
    </w:p>
    <w:p w14:paraId="22B97AAA" w14:textId="77777777" w:rsidR="005D2BE5" w:rsidRDefault="005D2BE5" w:rsidP="005D2BE5">
      <w:pPr>
        <w:pStyle w:val="ListParagraph"/>
        <w:jc w:val="both"/>
      </w:pPr>
      <w:r>
        <w:t>•</w:t>
      </w:r>
      <w:r>
        <w:tab/>
        <w:t>Formalise 1st Yr. ICT classes and end of session assessment</w:t>
      </w:r>
    </w:p>
    <w:p w14:paraId="40A399FC" w14:textId="77777777" w:rsidR="005D2BE5" w:rsidRDefault="005D2BE5" w:rsidP="005D2BE5">
      <w:pPr>
        <w:pStyle w:val="ListParagraph"/>
        <w:jc w:val="both"/>
      </w:pPr>
      <w:r>
        <w:t>•</w:t>
      </w:r>
      <w:r>
        <w:tab/>
        <w:t>Promote CPD in ICT</w:t>
      </w:r>
    </w:p>
    <w:p w14:paraId="2484429C" w14:textId="5F57244C" w:rsidR="005D2BE5" w:rsidRDefault="005D2BE5" w:rsidP="005D2BE5">
      <w:pPr>
        <w:pStyle w:val="ListParagraph"/>
        <w:jc w:val="both"/>
      </w:pPr>
      <w:r>
        <w:t>•</w:t>
      </w:r>
      <w:r>
        <w:tab/>
        <w:t>Consider implementing a second laptop trolley</w:t>
      </w:r>
    </w:p>
    <w:sectPr w:rsidR="005D2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71C7"/>
    <w:multiLevelType w:val="hybridMultilevel"/>
    <w:tmpl w:val="588EBA6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77111B4"/>
    <w:multiLevelType w:val="hybridMultilevel"/>
    <w:tmpl w:val="B054F3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8621FD7"/>
    <w:multiLevelType w:val="hybridMultilevel"/>
    <w:tmpl w:val="45367E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367020A7"/>
    <w:multiLevelType w:val="hybridMultilevel"/>
    <w:tmpl w:val="67709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FC50BC"/>
    <w:multiLevelType w:val="hybridMultilevel"/>
    <w:tmpl w:val="389059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49254CB2"/>
    <w:multiLevelType w:val="hybridMultilevel"/>
    <w:tmpl w:val="13A4BF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B61803"/>
    <w:multiLevelType w:val="hybridMultilevel"/>
    <w:tmpl w:val="E13657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BDB2CAF"/>
    <w:multiLevelType w:val="hybridMultilevel"/>
    <w:tmpl w:val="DB587B7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BE80BC0"/>
    <w:multiLevelType w:val="hybridMultilevel"/>
    <w:tmpl w:val="D4ECE698"/>
    <w:lvl w:ilvl="0" w:tplc="1809000F">
      <w:start w:val="1"/>
      <w:numFmt w:val="decimal"/>
      <w:lvlText w:val="%1."/>
      <w:lvlJc w:val="left"/>
      <w:pPr>
        <w:ind w:left="720" w:hanging="360"/>
      </w:pPr>
    </w:lvl>
    <w:lvl w:ilvl="1" w:tplc="FE081F9E">
      <w:start w:val="1"/>
      <w:numFmt w:val="decimal"/>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1316895"/>
    <w:multiLevelType w:val="hybridMultilevel"/>
    <w:tmpl w:val="AEC0A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077838"/>
    <w:multiLevelType w:val="hybridMultilevel"/>
    <w:tmpl w:val="A2C273F0"/>
    <w:lvl w:ilvl="0" w:tplc="18090001">
      <w:start w:val="1"/>
      <w:numFmt w:val="bullet"/>
      <w:lvlText w:val=""/>
      <w:lvlJc w:val="left"/>
      <w:pPr>
        <w:ind w:left="1440" w:hanging="360"/>
      </w:pPr>
      <w:rPr>
        <w:rFonts w:ascii="Symbol" w:hAnsi="Symbol" w:hint="default"/>
      </w:rPr>
    </w:lvl>
    <w:lvl w:ilvl="1" w:tplc="18090019">
      <w:start w:val="1"/>
      <w:numFmt w:val="lowerLetter"/>
      <w:lvlText w:val="%2."/>
      <w:lvlJc w:val="left"/>
      <w:pPr>
        <w:ind w:left="2160" w:hanging="360"/>
      </w:pPr>
      <w:rPr>
        <w:rFont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1"/>
  </w:num>
  <w:num w:numId="6">
    <w:abstractNumId w:val="7"/>
  </w:num>
  <w:num w:numId="7">
    <w:abstractNumId w:val="10"/>
  </w:num>
  <w:num w:numId="8">
    <w:abstractNumId w:val="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54"/>
    <w:rsid w:val="00042EEF"/>
    <w:rsid w:val="001171B5"/>
    <w:rsid w:val="0020700B"/>
    <w:rsid w:val="002C54C9"/>
    <w:rsid w:val="00316F44"/>
    <w:rsid w:val="00326554"/>
    <w:rsid w:val="0041031A"/>
    <w:rsid w:val="0052770D"/>
    <w:rsid w:val="00587B11"/>
    <w:rsid w:val="005D2BE5"/>
    <w:rsid w:val="006306DF"/>
    <w:rsid w:val="00662A75"/>
    <w:rsid w:val="00740EC9"/>
    <w:rsid w:val="007B1217"/>
    <w:rsid w:val="007C52B5"/>
    <w:rsid w:val="008941E3"/>
    <w:rsid w:val="00895359"/>
    <w:rsid w:val="009012D0"/>
    <w:rsid w:val="00986BB4"/>
    <w:rsid w:val="009D2F2B"/>
    <w:rsid w:val="00A81544"/>
    <w:rsid w:val="00A92000"/>
    <w:rsid w:val="00AF3091"/>
    <w:rsid w:val="00AF4D07"/>
    <w:rsid w:val="00B00528"/>
    <w:rsid w:val="00B259B7"/>
    <w:rsid w:val="00B47679"/>
    <w:rsid w:val="00B54882"/>
    <w:rsid w:val="00BF3F84"/>
    <w:rsid w:val="00C24181"/>
    <w:rsid w:val="00C87BC7"/>
    <w:rsid w:val="00CE24E6"/>
    <w:rsid w:val="00D07392"/>
    <w:rsid w:val="00DA70AB"/>
    <w:rsid w:val="00DD4CD6"/>
    <w:rsid w:val="00DF6118"/>
    <w:rsid w:val="00E27EFE"/>
    <w:rsid w:val="00E56D14"/>
    <w:rsid w:val="00E82991"/>
    <w:rsid w:val="00E92193"/>
    <w:rsid w:val="00EA3535"/>
    <w:rsid w:val="00EF042C"/>
    <w:rsid w:val="27959983"/>
    <w:rsid w:val="3BB015B2"/>
    <w:rsid w:val="40B154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D39A"/>
  <w15:chartTrackingRefBased/>
  <w15:docId w15:val="{5B1E3808-D021-40A9-A575-82FD9B02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C9"/>
    <w:pPr>
      <w:ind w:left="720"/>
      <w:contextualSpacing/>
    </w:pPr>
  </w:style>
  <w:style w:type="table" w:styleId="TableGrid">
    <w:name w:val="Table Grid"/>
    <w:basedOn w:val="TableNormal"/>
    <w:uiPriority w:val="39"/>
    <w:rsid w:val="00CE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1031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C24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7462">
      <w:bodyDiv w:val="1"/>
      <w:marLeft w:val="0"/>
      <w:marRight w:val="0"/>
      <w:marTop w:val="0"/>
      <w:marBottom w:val="0"/>
      <w:divBdr>
        <w:top w:val="none" w:sz="0" w:space="0" w:color="auto"/>
        <w:left w:val="none" w:sz="0" w:space="0" w:color="auto"/>
        <w:bottom w:val="none" w:sz="0" w:space="0" w:color="auto"/>
        <w:right w:val="none" w:sz="0" w:space="0" w:color="auto"/>
      </w:divBdr>
    </w:div>
    <w:div w:id="604385436">
      <w:bodyDiv w:val="1"/>
      <w:marLeft w:val="0"/>
      <w:marRight w:val="0"/>
      <w:marTop w:val="0"/>
      <w:marBottom w:val="0"/>
      <w:divBdr>
        <w:top w:val="none" w:sz="0" w:space="0" w:color="auto"/>
        <w:left w:val="none" w:sz="0" w:space="0" w:color="auto"/>
        <w:bottom w:val="none" w:sz="0" w:space="0" w:color="auto"/>
        <w:right w:val="none" w:sz="0" w:space="0" w:color="auto"/>
      </w:divBdr>
      <w:divsChild>
        <w:div w:id="1892155649">
          <w:marLeft w:val="0"/>
          <w:marRight w:val="0"/>
          <w:marTop w:val="0"/>
          <w:marBottom w:val="0"/>
          <w:divBdr>
            <w:top w:val="none" w:sz="0" w:space="0" w:color="auto"/>
            <w:left w:val="none" w:sz="0" w:space="0" w:color="auto"/>
            <w:bottom w:val="none" w:sz="0" w:space="0" w:color="auto"/>
            <w:right w:val="none" w:sz="0" w:space="0" w:color="auto"/>
          </w:divBdr>
          <w:divsChild>
            <w:div w:id="1004433062">
              <w:marLeft w:val="0"/>
              <w:marRight w:val="0"/>
              <w:marTop w:val="0"/>
              <w:marBottom w:val="0"/>
              <w:divBdr>
                <w:top w:val="none" w:sz="0" w:space="0" w:color="auto"/>
                <w:left w:val="none" w:sz="0" w:space="0" w:color="auto"/>
                <w:bottom w:val="none" w:sz="0" w:space="0" w:color="auto"/>
                <w:right w:val="none" w:sz="0" w:space="0" w:color="auto"/>
              </w:divBdr>
            </w:div>
          </w:divsChild>
        </w:div>
        <w:div w:id="540367155">
          <w:marLeft w:val="0"/>
          <w:marRight w:val="0"/>
          <w:marTop w:val="0"/>
          <w:marBottom w:val="0"/>
          <w:divBdr>
            <w:top w:val="none" w:sz="0" w:space="0" w:color="auto"/>
            <w:left w:val="none" w:sz="0" w:space="0" w:color="auto"/>
            <w:bottom w:val="none" w:sz="0" w:space="0" w:color="auto"/>
            <w:right w:val="none" w:sz="0" w:space="0" w:color="auto"/>
          </w:divBdr>
          <w:divsChild>
            <w:div w:id="237831052">
              <w:marLeft w:val="0"/>
              <w:marRight w:val="0"/>
              <w:marTop w:val="0"/>
              <w:marBottom w:val="0"/>
              <w:divBdr>
                <w:top w:val="none" w:sz="0" w:space="0" w:color="auto"/>
                <w:left w:val="none" w:sz="0" w:space="0" w:color="auto"/>
                <w:bottom w:val="none" w:sz="0" w:space="0" w:color="auto"/>
                <w:right w:val="none" w:sz="0" w:space="0" w:color="auto"/>
              </w:divBdr>
            </w:div>
          </w:divsChild>
        </w:div>
        <w:div w:id="738284930">
          <w:marLeft w:val="0"/>
          <w:marRight w:val="0"/>
          <w:marTop w:val="0"/>
          <w:marBottom w:val="0"/>
          <w:divBdr>
            <w:top w:val="none" w:sz="0" w:space="0" w:color="auto"/>
            <w:left w:val="none" w:sz="0" w:space="0" w:color="auto"/>
            <w:bottom w:val="none" w:sz="0" w:space="0" w:color="auto"/>
            <w:right w:val="none" w:sz="0" w:space="0" w:color="auto"/>
          </w:divBdr>
          <w:divsChild>
            <w:div w:id="726344692">
              <w:marLeft w:val="0"/>
              <w:marRight w:val="0"/>
              <w:marTop w:val="0"/>
              <w:marBottom w:val="0"/>
              <w:divBdr>
                <w:top w:val="none" w:sz="0" w:space="0" w:color="auto"/>
                <w:left w:val="none" w:sz="0" w:space="0" w:color="auto"/>
                <w:bottom w:val="none" w:sz="0" w:space="0" w:color="auto"/>
                <w:right w:val="none" w:sz="0" w:space="0" w:color="auto"/>
              </w:divBdr>
            </w:div>
            <w:div w:id="1818917787">
              <w:marLeft w:val="0"/>
              <w:marRight w:val="0"/>
              <w:marTop w:val="0"/>
              <w:marBottom w:val="0"/>
              <w:divBdr>
                <w:top w:val="none" w:sz="0" w:space="0" w:color="auto"/>
                <w:left w:val="none" w:sz="0" w:space="0" w:color="auto"/>
                <w:bottom w:val="none" w:sz="0" w:space="0" w:color="auto"/>
                <w:right w:val="none" w:sz="0" w:space="0" w:color="auto"/>
              </w:divBdr>
            </w:div>
            <w:div w:id="645206323">
              <w:marLeft w:val="0"/>
              <w:marRight w:val="0"/>
              <w:marTop w:val="0"/>
              <w:marBottom w:val="0"/>
              <w:divBdr>
                <w:top w:val="none" w:sz="0" w:space="0" w:color="auto"/>
                <w:left w:val="none" w:sz="0" w:space="0" w:color="auto"/>
                <w:bottom w:val="none" w:sz="0" w:space="0" w:color="auto"/>
                <w:right w:val="none" w:sz="0" w:space="0" w:color="auto"/>
              </w:divBdr>
            </w:div>
            <w:div w:id="1806383969">
              <w:marLeft w:val="0"/>
              <w:marRight w:val="0"/>
              <w:marTop w:val="0"/>
              <w:marBottom w:val="0"/>
              <w:divBdr>
                <w:top w:val="none" w:sz="0" w:space="0" w:color="auto"/>
                <w:left w:val="none" w:sz="0" w:space="0" w:color="auto"/>
                <w:bottom w:val="none" w:sz="0" w:space="0" w:color="auto"/>
                <w:right w:val="none" w:sz="0" w:space="0" w:color="auto"/>
              </w:divBdr>
            </w:div>
            <w:div w:id="581524241">
              <w:marLeft w:val="0"/>
              <w:marRight w:val="0"/>
              <w:marTop w:val="0"/>
              <w:marBottom w:val="0"/>
              <w:divBdr>
                <w:top w:val="none" w:sz="0" w:space="0" w:color="auto"/>
                <w:left w:val="none" w:sz="0" w:space="0" w:color="auto"/>
                <w:bottom w:val="none" w:sz="0" w:space="0" w:color="auto"/>
                <w:right w:val="none" w:sz="0" w:space="0" w:color="auto"/>
              </w:divBdr>
            </w:div>
          </w:divsChild>
        </w:div>
        <w:div w:id="1839808717">
          <w:marLeft w:val="0"/>
          <w:marRight w:val="0"/>
          <w:marTop w:val="0"/>
          <w:marBottom w:val="0"/>
          <w:divBdr>
            <w:top w:val="none" w:sz="0" w:space="0" w:color="auto"/>
            <w:left w:val="none" w:sz="0" w:space="0" w:color="auto"/>
            <w:bottom w:val="none" w:sz="0" w:space="0" w:color="auto"/>
            <w:right w:val="none" w:sz="0" w:space="0" w:color="auto"/>
          </w:divBdr>
          <w:divsChild>
            <w:div w:id="1974410591">
              <w:marLeft w:val="0"/>
              <w:marRight w:val="0"/>
              <w:marTop w:val="0"/>
              <w:marBottom w:val="0"/>
              <w:divBdr>
                <w:top w:val="none" w:sz="0" w:space="0" w:color="auto"/>
                <w:left w:val="none" w:sz="0" w:space="0" w:color="auto"/>
                <w:bottom w:val="none" w:sz="0" w:space="0" w:color="auto"/>
                <w:right w:val="none" w:sz="0" w:space="0" w:color="auto"/>
              </w:divBdr>
            </w:div>
            <w:div w:id="1517695453">
              <w:marLeft w:val="0"/>
              <w:marRight w:val="0"/>
              <w:marTop w:val="0"/>
              <w:marBottom w:val="0"/>
              <w:divBdr>
                <w:top w:val="none" w:sz="0" w:space="0" w:color="auto"/>
                <w:left w:val="none" w:sz="0" w:space="0" w:color="auto"/>
                <w:bottom w:val="none" w:sz="0" w:space="0" w:color="auto"/>
                <w:right w:val="none" w:sz="0" w:space="0" w:color="auto"/>
              </w:divBdr>
            </w:div>
            <w:div w:id="228854448">
              <w:marLeft w:val="0"/>
              <w:marRight w:val="0"/>
              <w:marTop w:val="0"/>
              <w:marBottom w:val="0"/>
              <w:divBdr>
                <w:top w:val="none" w:sz="0" w:space="0" w:color="auto"/>
                <w:left w:val="none" w:sz="0" w:space="0" w:color="auto"/>
                <w:bottom w:val="none" w:sz="0" w:space="0" w:color="auto"/>
                <w:right w:val="none" w:sz="0" w:space="0" w:color="auto"/>
              </w:divBdr>
            </w:div>
            <w:div w:id="2102410925">
              <w:marLeft w:val="0"/>
              <w:marRight w:val="0"/>
              <w:marTop w:val="0"/>
              <w:marBottom w:val="0"/>
              <w:divBdr>
                <w:top w:val="none" w:sz="0" w:space="0" w:color="auto"/>
                <w:left w:val="none" w:sz="0" w:space="0" w:color="auto"/>
                <w:bottom w:val="none" w:sz="0" w:space="0" w:color="auto"/>
                <w:right w:val="none" w:sz="0" w:space="0" w:color="auto"/>
              </w:divBdr>
            </w:div>
            <w:div w:id="515769695">
              <w:marLeft w:val="0"/>
              <w:marRight w:val="0"/>
              <w:marTop w:val="0"/>
              <w:marBottom w:val="0"/>
              <w:divBdr>
                <w:top w:val="none" w:sz="0" w:space="0" w:color="auto"/>
                <w:left w:val="none" w:sz="0" w:space="0" w:color="auto"/>
                <w:bottom w:val="none" w:sz="0" w:space="0" w:color="auto"/>
                <w:right w:val="none" w:sz="0" w:space="0" w:color="auto"/>
              </w:divBdr>
            </w:div>
            <w:div w:id="431358653">
              <w:marLeft w:val="0"/>
              <w:marRight w:val="0"/>
              <w:marTop w:val="0"/>
              <w:marBottom w:val="0"/>
              <w:divBdr>
                <w:top w:val="none" w:sz="0" w:space="0" w:color="auto"/>
                <w:left w:val="none" w:sz="0" w:space="0" w:color="auto"/>
                <w:bottom w:val="none" w:sz="0" w:space="0" w:color="auto"/>
                <w:right w:val="none" w:sz="0" w:space="0" w:color="auto"/>
              </w:divBdr>
            </w:div>
            <w:div w:id="43022578">
              <w:marLeft w:val="0"/>
              <w:marRight w:val="0"/>
              <w:marTop w:val="0"/>
              <w:marBottom w:val="0"/>
              <w:divBdr>
                <w:top w:val="none" w:sz="0" w:space="0" w:color="auto"/>
                <w:left w:val="none" w:sz="0" w:space="0" w:color="auto"/>
                <w:bottom w:val="none" w:sz="0" w:space="0" w:color="auto"/>
                <w:right w:val="none" w:sz="0" w:space="0" w:color="auto"/>
              </w:divBdr>
            </w:div>
            <w:div w:id="252055808">
              <w:marLeft w:val="0"/>
              <w:marRight w:val="0"/>
              <w:marTop w:val="0"/>
              <w:marBottom w:val="0"/>
              <w:divBdr>
                <w:top w:val="none" w:sz="0" w:space="0" w:color="auto"/>
                <w:left w:val="none" w:sz="0" w:space="0" w:color="auto"/>
                <w:bottom w:val="none" w:sz="0" w:space="0" w:color="auto"/>
                <w:right w:val="none" w:sz="0" w:space="0" w:color="auto"/>
              </w:divBdr>
            </w:div>
            <w:div w:id="957296489">
              <w:marLeft w:val="0"/>
              <w:marRight w:val="0"/>
              <w:marTop w:val="0"/>
              <w:marBottom w:val="0"/>
              <w:divBdr>
                <w:top w:val="none" w:sz="0" w:space="0" w:color="auto"/>
                <w:left w:val="none" w:sz="0" w:space="0" w:color="auto"/>
                <w:bottom w:val="none" w:sz="0" w:space="0" w:color="auto"/>
                <w:right w:val="none" w:sz="0" w:space="0" w:color="auto"/>
              </w:divBdr>
            </w:div>
            <w:div w:id="1570723189">
              <w:marLeft w:val="0"/>
              <w:marRight w:val="0"/>
              <w:marTop w:val="0"/>
              <w:marBottom w:val="0"/>
              <w:divBdr>
                <w:top w:val="none" w:sz="0" w:space="0" w:color="auto"/>
                <w:left w:val="none" w:sz="0" w:space="0" w:color="auto"/>
                <w:bottom w:val="none" w:sz="0" w:space="0" w:color="auto"/>
                <w:right w:val="none" w:sz="0" w:space="0" w:color="auto"/>
              </w:divBdr>
            </w:div>
            <w:div w:id="162016245">
              <w:marLeft w:val="0"/>
              <w:marRight w:val="0"/>
              <w:marTop w:val="0"/>
              <w:marBottom w:val="0"/>
              <w:divBdr>
                <w:top w:val="none" w:sz="0" w:space="0" w:color="auto"/>
                <w:left w:val="none" w:sz="0" w:space="0" w:color="auto"/>
                <w:bottom w:val="none" w:sz="0" w:space="0" w:color="auto"/>
                <w:right w:val="none" w:sz="0" w:space="0" w:color="auto"/>
              </w:divBdr>
            </w:div>
            <w:div w:id="1702901895">
              <w:marLeft w:val="0"/>
              <w:marRight w:val="0"/>
              <w:marTop w:val="0"/>
              <w:marBottom w:val="0"/>
              <w:divBdr>
                <w:top w:val="none" w:sz="0" w:space="0" w:color="auto"/>
                <w:left w:val="none" w:sz="0" w:space="0" w:color="auto"/>
                <w:bottom w:val="none" w:sz="0" w:space="0" w:color="auto"/>
                <w:right w:val="none" w:sz="0" w:space="0" w:color="auto"/>
              </w:divBdr>
            </w:div>
            <w:div w:id="576136452">
              <w:marLeft w:val="0"/>
              <w:marRight w:val="0"/>
              <w:marTop w:val="0"/>
              <w:marBottom w:val="0"/>
              <w:divBdr>
                <w:top w:val="none" w:sz="0" w:space="0" w:color="auto"/>
                <w:left w:val="none" w:sz="0" w:space="0" w:color="auto"/>
                <w:bottom w:val="none" w:sz="0" w:space="0" w:color="auto"/>
                <w:right w:val="none" w:sz="0" w:space="0" w:color="auto"/>
              </w:divBdr>
            </w:div>
            <w:div w:id="328020605">
              <w:marLeft w:val="0"/>
              <w:marRight w:val="0"/>
              <w:marTop w:val="0"/>
              <w:marBottom w:val="0"/>
              <w:divBdr>
                <w:top w:val="none" w:sz="0" w:space="0" w:color="auto"/>
                <w:left w:val="none" w:sz="0" w:space="0" w:color="auto"/>
                <w:bottom w:val="none" w:sz="0" w:space="0" w:color="auto"/>
                <w:right w:val="none" w:sz="0" w:space="0" w:color="auto"/>
              </w:divBdr>
            </w:div>
            <w:div w:id="1819111488">
              <w:marLeft w:val="0"/>
              <w:marRight w:val="0"/>
              <w:marTop w:val="0"/>
              <w:marBottom w:val="0"/>
              <w:divBdr>
                <w:top w:val="none" w:sz="0" w:space="0" w:color="auto"/>
                <w:left w:val="none" w:sz="0" w:space="0" w:color="auto"/>
                <w:bottom w:val="none" w:sz="0" w:space="0" w:color="auto"/>
                <w:right w:val="none" w:sz="0" w:space="0" w:color="auto"/>
              </w:divBdr>
            </w:div>
            <w:div w:id="33509315">
              <w:marLeft w:val="0"/>
              <w:marRight w:val="0"/>
              <w:marTop w:val="0"/>
              <w:marBottom w:val="0"/>
              <w:divBdr>
                <w:top w:val="none" w:sz="0" w:space="0" w:color="auto"/>
                <w:left w:val="none" w:sz="0" w:space="0" w:color="auto"/>
                <w:bottom w:val="none" w:sz="0" w:space="0" w:color="auto"/>
                <w:right w:val="none" w:sz="0" w:space="0" w:color="auto"/>
              </w:divBdr>
            </w:div>
            <w:div w:id="2037264658">
              <w:marLeft w:val="0"/>
              <w:marRight w:val="0"/>
              <w:marTop w:val="0"/>
              <w:marBottom w:val="0"/>
              <w:divBdr>
                <w:top w:val="none" w:sz="0" w:space="0" w:color="auto"/>
                <w:left w:val="none" w:sz="0" w:space="0" w:color="auto"/>
                <w:bottom w:val="none" w:sz="0" w:space="0" w:color="auto"/>
                <w:right w:val="none" w:sz="0" w:space="0" w:color="auto"/>
              </w:divBdr>
            </w:div>
            <w:div w:id="568540865">
              <w:marLeft w:val="0"/>
              <w:marRight w:val="0"/>
              <w:marTop w:val="0"/>
              <w:marBottom w:val="0"/>
              <w:divBdr>
                <w:top w:val="none" w:sz="0" w:space="0" w:color="auto"/>
                <w:left w:val="none" w:sz="0" w:space="0" w:color="auto"/>
                <w:bottom w:val="none" w:sz="0" w:space="0" w:color="auto"/>
                <w:right w:val="none" w:sz="0" w:space="0" w:color="auto"/>
              </w:divBdr>
            </w:div>
            <w:div w:id="164983622">
              <w:marLeft w:val="0"/>
              <w:marRight w:val="0"/>
              <w:marTop w:val="0"/>
              <w:marBottom w:val="0"/>
              <w:divBdr>
                <w:top w:val="none" w:sz="0" w:space="0" w:color="auto"/>
                <w:left w:val="none" w:sz="0" w:space="0" w:color="auto"/>
                <w:bottom w:val="none" w:sz="0" w:space="0" w:color="auto"/>
                <w:right w:val="none" w:sz="0" w:space="0" w:color="auto"/>
              </w:divBdr>
            </w:div>
            <w:div w:id="2145151709">
              <w:marLeft w:val="0"/>
              <w:marRight w:val="0"/>
              <w:marTop w:val="0"/>
              <w:marBottom w:val="0"/>
              <w:divBdr>
                <w:top w:val="none" w:sz="0" w:space="0" w:color="auto"/>
                <w:left w:val="none" w:sz="0" w:space="0" w:color="auto"/>
                <w:bottom w:val="none" w:sz="0" w:space="0" w:color="auto"/>
                <w:right w:val="none" w:sz="0" w:space="0" w:color="auto"/>
              </w:divBdr>
            </w:div>
            <w:div w:id="968703459">
              <w:marLeft w:val="0"/>
              <w:marRight w:val="0"/>
              <w:marTop w:val="0"/>
              <w:marBottom w:val="0"/>
              <w:divBdr>
                <w:top w:val="none" w:sz="0" w:space="0" w:color="auto"/>
                <w:left w:val="none" w:sz="0" w:space="0" w:color="auto"/>
                <w:bottom w:val="none" w:sz="0" w:space="0" w:color="auto"/>
                <w:right w:val="none" w:sz="0" w:space="0" w:color="auto"/>
              </w:divBdr>
            </w:div>
            <w:div w:id="1102382253">
              <w:marLeft w:val="0"/>
              <w:marRight w:val="0"/>
              <w:marTop w:val="0"/>
              <w:marBottom w:val="0"/>
              <w:divBdr>
                <w:top w:val="none" w:sz="0" w:space="0" w:color="auto"/>
                <w:left w:val="none" w:sz="0" w:space="0" w:color="auto"/>
                <w:bottom w:val="none" w:sz="0" w:space="0" w:color="auto"/>
                <w:right w:val="none" w:sz="0" w:space="0" w:color="auto"/>
              </w:divBdr>
            </w:div>
          </w:divsChild>
        </w:div>
        <w:div w:id="1698967756">
          <w:marLeft w:val="0"/>
          <w:marRight w:val="0"/>
          <w:marTop w:val="0"/>
          <w:marBottom w:val="0"/>
          <w:divBdr>
            <w:top w:val="none" w:sz="0" w:space="0" w:color="auto"/>
            <w:left w:val="none" w:sz="0" w:space="0" w:color="auto"/>
            <w:bottom w:val="none" w:sz="0" w:space="0" w:color="auto"/>
            <w:right w:val="none" w:sz="0" w:space="0" w:color="auto"/>
          </w:divBdr>
          <w:divsChild>
            <w:div w:id="108940733">
              <w:marLeft w:val="0"/>
              <w:marRight w:val="0"/>
              <w:marTop w:val="0"/>
              <w:marBottom w:val="0"/>
              <w:divBdr>
                <w:top w:val="none" w:sz="0" w:space="0" w:color="auto"/>
                <w:left w:val="none" w:sz="0" w:space="0" w:color="auto"/>
                <w:bottom w:val="none" w:sz="0" w:space="0" w:color="auto"/>
                <w:right w:val="none" w:sz="0" w:space="0" w:color="auto"/>
              </w:divBdr>
            </w:div>
          </w:divsChild>
        </w:div>
        <w:div w:id="1286041979">
          <w:marLeft w:val="0"/>
          <w:marRight w:val="0"/>
          <w:marTop w:val="0"/>
          <w:marBottom w:val="0"/>
          <w:divBdr>
            <w:top w:val="none" w:sz="0" w:space="0" w:color="auto"/>
            <w:left w:val="none" w:sz="0" w:space="0" w:color="auto"/>
            <w:bottom w:val="none" w:sz="0" w:space="0" w:color="auto"/>
            <w:right w:val="none" w:sz="0" w:space="0" w:color="auto"/>
          </w:divBdr>
          <w:divsChild>
            <w:div w:id="2573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D7F7CE3ACA5469BF3925A73BBC683" ma:contentTypeVersion="4" ma:contentTypeDescription="Create a new document." ma:contentTypeScope="" ma:versionID="910cdc39241205449cbf85ea58825d7b">
  <xsd:schema xmlns:xsd="http://www.w3.org/2001/XMLSchema" xmlns:xs="http://www.w3.org/2001/XMLSchema" xmlns:p="http://schemas.microsoft.com/office/2006/metadata/properties" xmlns:ns2="7eacb555-cbe7-40c0-b4e9-c6861b382f20" targetNamespace="http://schemas.microsoft.com/office/2006/metadata/properties" ma:root="true" ma:fieldsID="9a9c18617f30080a535a3e38e698ecdd" ns2:_="">
    <xsd:import namespace="7eacb555-cbe7-40c0-b4e9-c6861b382f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cb555-cbe7-40c0-b4e9-c6861b382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F906D-C261-46FD-9354-13699B01C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cb555-cbe7-40c0-b4e9-c6861b382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AD372-FBDE-42D7-B765-E9C1E0A88D5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7eacb555-cbe7-40c0-b4e9-c6861b382f20"/>
    <ds:schemaRef ds:uri="http://www.w3.org/XML/1998/namespace"/>
    <ds:schemaRef ds:uri="http://purl.org/dc/dcmitype/"/>
  </ds:schemaRefs>
</ds:datastoreItem>
</file>

<file path=customXml/itemProps3.xml><?xml version="1.0" encoding="utf-8"?>
<ds:datastoreItem xmlns:ds="http://schemas.openxmlformats.org/officeDocument/2006/customXml" ds:itemID="{D5C79B93-E917-4AD1-927D-2426FDD5F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dc:creator>
  <cp:keywords/>
  <dc:description/>
  <cp:lastModifiedBy>Ruaidhri Devitt</cp:lastModifiedBy>
  <cp:revision>2</cp:revision>
  <cp:lastPrinted>2019-08-19T11:29:00Z</cp:lastPrinted>
  <dcterms:created xsi:type="dcterms:W3CDTF">2019-08-19T11:30:00Z</dcterms:created>
  <dcterms:modified xsi:type="dcterms:W3CDTF">2019-08-19T11:30:00Z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0x010100CDED7F7CE3ACA5469BF3925A73BBC683</vt:lpwstr>
  </property>
  <property fmtid="{D5CDD505-2E9C-101B-9397-08002B2CF9AE}" pid="3" name="Order">
    <vt:r8>274200</vt:r8>
  </property>
  <property fmtid="{D5CDD505-2E9C-101B-9397-08002B2CF9AE}" pid="4" name="ComplianceAssetId">
    <vt:lpwstr/>
  </property>
</Properties>
</file>