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59D3" w14:textId="77777777" w:rsidR="00841DED" w:rsidRPr="00EC0FFE" w:rsidRDefault="00841DED" w:rsidP="00841DED">
      <w:pPr>
        <w:spacing w:after="0"/>
        <w:jc w:val="center"/>
        <w:rPr>
          <w:b/>
          <w:sz w:val="48"/>
        </w:rPr>
      </w:pPr>
      <w:r w:rsidRPr="00EC0FFE">
        <w:rPr>
          <w:b/>
          <w:sz w:val="48"/>
        </w:rPr>
        <w:t>St. Ailbe’s School</w:t>
      </w:r>
    </w:p>
    <w:p w14:paraId="5DCB937F" w14:textId="77777777" w:rsidR="00CD5788" w:rsidRPr="00EC0FFE" w:rsidRDefault="000D090A" w:rsidP="00841DED">
      <w:pPr>
        <w:spacing w:before="0"/>
        <w:jc w:val="center"/>
        <w:rPr>
          <w:b/>
          <w:sz w:val="36"/>
        </w:rPr>
      </w:pPr>
      <w:r w:rsidRPr="00EC0FFE">
        <w:rPr>
          <w:b/>
          <w:sz w:val="36"/>
        </w:rPr>
        <w:t>Class Tutor</w:t>
      </w:r>
      <w:r w:rsidR="00841DED" w:rsidRPr="00EC0FFE">
        <w:rPr>
          <w:b/>
          <w:sz w:val="36"/>
        </w:rPr>
        <w:t xml:space="preserve"> Guidance Document</w:t>
      </w:r>
    </w:p>
    <w:p w14:paraId="65E6508B" w14:textId="77777777" w:rsidR="00841DED" w:rsidRPr="00C72C75" w:rsidRDefault="00841DED" w:rsidP="005B4E13">
      <w:pPr>
        <w:shd w:val="clear" w:color="auto" w:fill="FFFFFF"/>
        <w:spacing w:before="0" w:after="0"/>
        <w:jc w:val="both"/>
        <w:textAlignment w:val="baseline"/>
        <w:rPr>
          <w:rFonts w:ascii="Calibri" w:eastAsia="Times New Roman" w:hAnsi="Calibri" w:cs="Calibri"/>
          <w:color w:val="FF0000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The </w:t>
      </w:r>
      <w:r w:rsidR="004A4732">
        <w:rPr>
          <w:rFonts w:ascii="Calibri" w:eastAsia="Times New Roman" w:hAnsi="Calibri" w:cs="Calibri"/>
          <w:color w:val="000000"/>
          <w:szCs w:val="24"/>
          <w:lang w:eastAsia="en-IE"/>
        </w:rPr>
        <w:t>policy review team, with collaboration from our Guidance teachers and Year Heads, has collated the tasks outlined below</w:t>
      </w:r>
      <w:r w:rsidR="00F3099E">
        <w:rPr>
          <w:rFonts w:ascii="Calibri" w:eastAsia="Times New Roman" w:hAnsi="Calibri" w:cs="Calibri"/>
          <w:color w:val="000000"/>
          <w:szCs w:val="24"/>
          <w:lang w:eastAsia="en-IE"/>
        </w:rPr>
        <w:t>. These are the suggestions that we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 felt </w:t>
      </w:r>
      <w:r w:rsidR="00F3099E">
        <w:rPr>
          <w:rFonts w:ascii="Calibri" w:eastAsia="Times New Roman" w:hAnsi="Calibri" w:cs="Calibri"/>
          <w:color w:val="000000"/>
          <w:szCs w:val="24"/>
          <w:lang w:eastAsia="en-IE"/>
        </w:rPr>
        <w:t xml:space="preserve">were 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relevant to class </w:t>
      </w:r>
      <w:r w:rsidR="004A4732">
        <w:rPr>
          <w:rFonts w:ascii="Calibri" w:eastAsia="Times New Roman" w:hAnsi="Calibri" w:cs="Calibri"/>
          <w:color w:val="000000"/>
          <w:szCs w:val="24"/>
          <w:lang w:eastAsia="en-IE"/>
        </w:rPr>
        <w:t>tutors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 in their supportive role to students. </w:t>
      </w:r>
      <w:r w:rsidR="008F7686">
        <w:rPr>
          <w:rFonts w:ascii="Calibri" w:eastAsia="Times New Roman" w:hAnsi="Calibri" w:cs="Calibri"/>
          <w:color w:val="000000"/>
          <w:szCs w:val="24"/>
          <w:lang w:eastAsia="en-IE"/>
        </w:rPr>
        <w:t xml:space="preserve">The team felt it important to split this role into priority and ongoing tasks throughout the year.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2B7" w14:paraId="31D2321F" w14:textId="77777777" w:rsidTr="00020A2B">
        <w:tc>
          <w:tcPr>
            <w:tcW w:w="10485" w:type="dxa"/>
          </w:tcPr>
          <w:p w14:paraId="4FACC36E" w14:textId="77777777" w:rsidR="00D962B7" w:rsidRPr="00D60887" w:rsidRDefault="000D090A" w:rsidP="00D962B7">
            <w:pPr>
              <w:shd w:val="clear" w:color="auto" w:fill="FFFFFF"/>
              <w:spacing w:before="0" w:after="0"/>
              <w:textAlignment w:val="baseline"/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</w:pPr>
            <w:r w:rsidRPr="000D090A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 </w:t>
            </w:r>
            <w:r w:rsidR="004A4732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Tutor</w:t>
            </w:r>
            <w:r w:rsidR="00D962B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s will a</w:t>
            </w:r>
            <w:r w:rsidR="0056679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im to communicate the following early in the school year:</w:t>
            </w:r>
          </w:p>
        </w:tc>
      </w:tr>
      <w:tr w:rsidR="007B34CD" w14:paraId="4C009695" w14:textId="77777777" w:rsidTr="00020A2B">
        <w:tc>
          <w:tcPr>
            <w:tcW w:w="10485" w:type="dxa"/>
          </w:tcPr>
          <w:p w14:paraId="67D99CF6" w14:textId="77777777" w:rsid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Set out seating plans for base classrooms and update where 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necessary.</w:t>
            </w:r>
          </w:p>
          <w:p w14:paraId="22677112" w14:textId="77777777" w:rsidR="007B34CD" w:rsidRP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0D090A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Check students have put their names on </w:t>
            </w: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their</w:t>
            </w:r>
            <w:r w:rsidRPr="000D090A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books</w:t>
            </w: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and school journal.</w:t>
            </w:r>
          </w:p>
          <w:p w14:paraId="756981FF" w14:textId="77777777" w:rsidR="007B34CD" w:rsidRPr="006F5198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Ensure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students write their timetable 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in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their 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journals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.</w:t>
            </w:r>
          </w:p>
          <w:p w14:paraId="6BAD1842" w14:textId="77777777" w:rsid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Allow students time to organise and tidy their bags and lockers during tutor classes.</w:t>
            </w:r>
          </w:p>
          <w:p w14:paraId="6A88894B" w14:textId="77777777" w:rsidR="005850E8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Encourage students to get the “basics” right that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was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outlined at the start of the year. E.g. being prepared, on time, organised, respectful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to others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,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good school citizen,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30752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putting rubbish into bins,</w:t>
            </w:r>
            <w:r w:rsidR="00E617A6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keeping base classrooms neat and tidy</w:t>
            </w:r>
            <w:r w:rsidR="0030752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etc.</w:t>
            </w:r>
          </w:p>
          <w:p w14:paraId="1308030D" w14:textId="77777777" w:rsidR="005850E8" w:rsidRDefault="005850E8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Teachers will check that n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ames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are 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on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703A11" w:rsidRPr="00DC5989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students’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books and inspect their 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condition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</w:p>
          <w:p w14:paraId="3569C66A" w14:textId="77777777" w:rsidR="00D962B7" w:rsidRDefault="005850E8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Discuss safety and etiquette around the school at break and lunchtimes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so</w:t>
            </w: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students are aware of school rules and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are</w:t>
            </w: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considerate of ongoing classes throughout the school.</w:t>
            </w:r>
          </w:p>
          <w:p w14:paraId="35EDAF4B" w14:textId="77777777" w:rsidR="00D962B7" w:rsidRDefault="007820E7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Speak to students about the safe and appropriate use of Microsoft School apps.</w:t>
            </w:r>
          </w:p>
          <w:p w14:paraId="7A6AA177" w14:textId="77777777" w:rsidR="00D962B7" w:rsidRDefault="00D962B7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Make students aware of the extra-curricular policy and explain that behaviour is important and that playing on teams is seen as a privilege in St. Ailbe’s.</w:t>
            </w:r>
          </w:p>
          <w:p w14:paraId="67C14E89" w14:textId="4C7BEF90" w:rsidR="007820E7" w:rsidRDefault="0063376B" w:rsidP="00811BA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Inform 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1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vertAlign w:val="superscript"/>
                <w:lang w:eastAsia="en-IE"/>
              </w:rPr>
              <w:t>st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and 2</w:t>
            </w:r>
            <w:r w:rsidR="009904B4" w:rsidRPr="009904B4">
              <w:rPr>
                <w:rFonts w:ascii="Calibri" w:eastAsia="Times New Roman" w:hAnsi="Calibri" w:cs="Calibri"/>
                <w:color w:val="000000"/>
                <w:szCs w:val="24"/>
                <w:vertAlign w:val="superscript"/>
                <w:lang w:eastAsia="en-IE"/>
              </w:rPr>
              <w:t>nd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Year</w:t>
            </w:r>
            <w:r w:rsidR="004F1706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students of the Green Schools initiative and participation with the </w:t>
            </w:r>
            <w:r w:rsidR="00D02CCC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Clean Up</w:t>
            </w:r>
            <w:r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rota.</w:t>
            </w:r>
          </w:p>
          <w:p w14:paraId="7DEEC4CB" w14:textId="77777777" w:rsidR="00133F11" w:rsidRPr="00811BA7" w:rsidRDefault="00133F11" w:rsidP="00811BA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Ensure Page 17 of Homework Journal is signed by all</w:t>
            </w:r>
            <w:r w:rsidR="00314E9B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</w:p>
        </w:tc>
      </w:tr>
    </w:tbl>
    <w:p w14:paraId="4D9DAF44" w14:textId="77777777" w:rsidR="000D090A" w:rsidRPr="000D090A" w:rsidRDefault="000D090A" w:rsidP="000D090A">
      <w:pPr>
        <w:shd w:val="clear" w:color="auto" w:fill="FFFFFF"/>
        <w:spacing w:before="0"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2B7" w14:paraId="48B8DDC8" w14:textId="77777777" w:rsidTr="00020A2B">
        <w:tc>
          <w:tcPr>
            <w:tcW w:w="10485" w:type="dxa"/>
          </w:tcPr>
          <w:p w14:paraId="35599514" w14:textId="77777777" w:rsidR="00D962B7" w:rsidRPr="00D60887" w:rsidRDefault="004A4732" w:rsidP="00D962B7">
            <w:pPr>
              <w:shd w:val="clear" w:color="auto" w:fill="FFFFFF"/>
              <w:spacing w:before="0" w:after="0"/>
              <w:textAlignment w:val="baseline"/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</w:pPr>
            <w:r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lastRenderedPageBreak/>
              <w:t>Tutor</w:t>
            </w:r>
            <w:r w:rsidR="00D962B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s will</w:t>
            </w:r>
            <w:r w:rsidR="0056679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,</w:t>
            </w:r>
            <w:r w:rsidR="00D962B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 xml:space="preserve"> on an ongoing basis</w:t>
            </w:r>
            <w:r w:rsidR="0056679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, carry out the following</w:t>
            </w:r>
            <w:r w:rsidR="00D962B7" w:rsidRPr="00D60887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>:</w:t>
            </w:r>
          </w:p>
        </w:tc>
      </w:tr>
      <w:tr w:rsidR="007B34CD" w14:paraId="672EA096" w14:textId="77777777" w:rsidTr="00020A2B">
        <w:tc>
          <w:tcPr>
            <w:tcW w:w="10485" w:type="dxa"/>
          </w:tcPr>
          <w:p w14:paraId="7721205D" w14:textId="6234860D" w:rsidR="007B34CD" w:rsidRDefault="007B34CD" w:rsidP="009904B4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Carry out regular checks to see if students are writing their homework 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the journal.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Encourage students to write homework into their journal even if the teacher has put the homework on Teams. </w:t>
            </w:r>
            <w:r w:rsidRP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</w:p>
          <w:p w14:paraId="1407958A" w14:textId="64362DAB" w:rsidR="009904B4" w:rsidRPr="009904B4" w:rsidRDefault="009904B4" w:rsidP="009904B4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Check if homework is being completed and identify students that may need a “homework letter” sent to parents/guardians.</w:t>
            </w:r>
          </w:p>
          <w:p w14:paraId="4CE38067" w14:textId="77777777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Locker check with a class group, keeping their books and materials in good condition. </w:t>
            </w:r>
          </w:p>
          <w:p w14:paraId="4EC1C98E" w14:textId="3E1EDA7B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Class 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teachers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are responsible for maintaining seating plans for base classrooms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 Seating plans may need to be amended throughout the year.</w:t>
            </w:r>
          </w:p>
          <w:p w14:paraId="7B5E3A21" w14:textId="7EC4E28F" w:rsidR="005850E8" w:rsidRDefault="005850E8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Introduce and promote study skills and revision techniques in advance of </w:t>
            </w:r>
            <w:r w:rsidR="00FE092D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term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tests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Make sure students can log in to </w:t>
            </w:r>
            <w:proofErr w:type="spellStart"/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ExamRevision</w:t>
            </w:r>
            <w:proofErr w:type="spellEnd"/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 Log in details will be shared in September.</w:t>
            </w:r>
          </w:p>
          <w:p w14:paraId="68E8F341" w14:textId="48CBD655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 Vsware entries check on a regular basis and monitor behaviour.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A subject teacher may use the “assign to” function on VSware and assign a </w:t>
            </w:r>
            <w:r w:rsidR="00D6088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student’s</w:t>
            </w:r>
            <w:r w:rsidR="009904B4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behaviour to a class tutor if a behaviour persists. The “assign to” function should only be used if a number of classroom management strategies have been used.</w:t>
            </w:r>
          </w:p>
          <w:p w14:paraId="4BC8FAC6" w14:textId="237DA23E" w:rsidR="007B34CD" w:rsidRDefault="009904B4" w:rsidP="007B34CD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Promote </w:t>
            </w:r>
            <w:r w:rsidR="00A33C81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</w:t>
            </w:r>
            <w:r w:rsidR="00A33C81" w:rsidRPr="00F15F8D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chool Ethos and show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ing</w:t>
            </w:r>
            <w:r w:rsidR="00A33C81" w:rsidRPr="00F15F8D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respect to persons in and around the school environment. </w:t>
            </w:r>
          </w:p>
          <w:p w14:paraId="784968ED" w14:textId="53B22276" w:rsidR="004A4732" w:rsidRDefault="00D60887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Check in with students Athena and encourage students to set targets.</w:t>
            </w:r>
          </w:p>
          <w:p w14:paraId="17AD912D" w14:textId="77777777" w:rsidR="004A4732" w:rsidRDefault="004A4732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Introduce the students to the Token System when it is rolled out </w:t>
            </w:r>
            <w:r w:rsidR="00C43E2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by our BFL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team, encourage effort and participation in the system, outlining the rewards for the successful class group.</w:t>
            </w:r>
          </w:p>
          <w:p w14:paraId="323D2E63" w14:textId="0AE69319" w:rsidR="00D60887" w:rsidRDefault="00D60887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Liaise with the relevant Attendance Officer and Year Head regarding student’s attendance.</w:t>
            </w:r>
          </w:p>
          <w:p w14:paraId="0E426E36" w14:textId="1F059332" w:rsidR="00D60887" w:rsidRDefault="00D60887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Conduct regular uniform checks and follow the procedure for getting a spare uniform if necessary. Liaise with spare uniform/tracksuit coordinators. </w:t>
            </w:r>
          </w:p>
          <w:p w14:paraId="334B34A0" w14:textId="3A9246A8" w:rsidR="00D60887" w:rsidRPr="00716EB8" w:rsidRDefault="00D60887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Class tutors should liaise with the relevant Year Head. It is recommended that the Year Head should meet with Class Tutors at least once a term.</w:t>
            </w:r>
          </w:p>
        </w:tc>
      </w:tr>
    </w:tbl>
    <w:p w14:paraId="3ACEA10E" w14:textId="77777777" w:rsidR="00D60887" w:rsidRDefault="00D60887" w:rsidP="00D6088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51D4A1A5" w14:textId="5D059915" w:rsidR="00D60887" w:rsidRPr="00D60887" w:rsidRDefault="00D60887" w:rsidP="00D60887">
      <w:pPr>
        <w:pStyle w:val="NormalWeb"/>
        <w:rPr>
          <w:rFonts w:asciiTheme="majorHAnsi" w:hAnsiTheme="majorHAnsi" w:cstheme="majorHAnsi"/>
          <w:b/>
          <w:color w:val="000000"/>
          <w:szCs w:val="27"/>
          <w:u w:val="single"/>
        </w:rPr>
      </w:pPr>
      <w:r w:rsidRPr="00D60887">
        <w:rPr>
          <w:rFonts w:asciiTheme="majorHAnsi" w:hAnsiTheme="majorHAnsi" w:cstheme="majorHAnsi"/>
          <w:b/>
          <w:color w:val="000000"/>
          <w:szCs w:val="27"/>
          <w:u w:val="single"/>
        </w:rPr>
        <w:t>Maintaining Positive Relationships as a Class Tutor</w:t>
      </w:r>
    </w:p>
    <w:p w14:paraId="654A0D42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Theme="majorHAnsi" w:hAnsiTheme="majorHAnsi" w:cstheme="majorHAnsi"/>
          <w:color w:val="000000"/>
          <w:szCs w:val="27"/>
        </w:rPr>
        <w:t>As class tutors, you play a vital role in monitoring student behaviour, homework, and day-to-day issues. While these responsibilities are important, it’s equally crucial to maintain positive, encouraging relationships with students. A small positive moment can have a big, lasting impact.</w:t>
      </w:r>
    </w:p>
    <w:p w14:paraId="64EB8068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🌟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Simple Tips to Keep the Balance Right</w:t>
      </w:r>
    </w:p>
    <w:p w14:paraId="39A9F10B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✅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Catch Them Doing Well Make a point of acknowledging students who are on time, prepared, respectful, and helpful. A quick </w:t>
      </w:r>
      <w:r w:rsidRPr="00D60887">
        <w:rPr>
          <w:rFonts w:ascii="Calibri Light" w:hAnsi="Calibri Light" w:cs="Calibri Light"/>
          <w:color w:val="000000"/>
          <w:szCs w:val="27"/>
        </w:rPr>
        <w:t>“</w:t>
      </w:r>
      <w:r w:rsidRPr="00D60887">
        <w:rPr>
          <w:rFonts w:asciiTheme="majorHAnsi" w:hAnsiTheme="majorHAnsi" w:cstheme="majorHAnsi"/>
          <w:color w:val="000000"/>
          <w:szCs w:val="27"/>
        </w:rPr>
        <w:t>well done</w:t>
      </w:r>
      <w:r w:rsidRPr="00D60887">
        <w:rPr>
          <w:rFonts w:ascii="Calibri Light" w:hAnsi="Calibri Light" w:cs="Calibri Light"/>
          <w:color w:val="000000"/>
          <w:szCs w:val="27"/>
        </w:rPr>
        <w:t>”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or </w:t>
      </w:r>
      <w:r w:rsidRPr="00D60887">
        <w:rPr>
          <w:rFonts w:ascii="Calibri Light" w:hAnsi="Calibri Light" w:cs="Calibri Light"/>
          <w:color w:val="000000"/>
          <w:szCs w:val="27"/>
        </w:rPr>
        <w:t>“</w:t>
      </w:r>
      <w:r w:rsidRPr="00D60887">
        <w:rPr>
          <w:rFonts w:asciiTheme="majorHAnsi" w:hAnsiTheme="majorHAnsi" w:cstheme="majorHAnsi"/>
          <w:color w:val="000000"/>
          <w:szCs w:val="27"/>
        </w:rPr>
        <w:t>thank you</w:t>
      </w:r>
      <w:r w:rsidRPr="00D60887">
        <w:rPr>
          <w:rFonts w:ascii="Calibri Light" w:hAnsi="Calibri Light" w:cs="Calibri Light"/>
          <w:color w:val="000000"/>
          <w:szCs w:val="27"/>
        </w:rPr>
        <w:t>”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means a lot.</w:t>
      </w:r>
    </w:p>
    <w:p w14:paraId="479115FA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✅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Positive Notes or Comments Send a note home, write a comment in a journal, or give a quick public shout-out for effort, kindness, or improvement — not just top grades.</w:t>
      </w:r>
    </w:p>
    <w:p w14:paraId="2404EFA3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✅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Don</w:t>
      </w:r>
      <w:r w:rsidRPr="00D60887">
        <w:rPr>
          <w:rFonts w:ascii="Calibri Light" w:hAnsi="Calibri Light" w:cs="Calibri Light"/>
          <w:color w:val="000000"/>
          <w:szCs w:val="27"/>
        </w:rPr>
        <w:t>’</w:t>
      </w:r>
      <w:r w:rsidRPr="00D60887">
        <w:rPr>
          <w:rFonts w:asciiTheme="majorHAnsi" w:hAnsiTheme="majorHAnsi" w:cstheme="majorHAnsi"/>
          <w:color w:val="000000"/>
          <w:szCs w:val="27"/>
        </w:rPr>
        <w:t>t Forget the Quiet Students Check in with students who are consistently well-behaved and quietly getting on with things. They deserve recognition too.</w:t>
      </w:r>
    </w:p>
    <w:p w14:paraId="6C6A158E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✅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Focus on the Behaviour, Not the Person When addressing an issue, focus on the behaviour. </w:t>
      </w:r>
      <w:r w:rsidRPr="00D60887">
        <w:rPr>
          <w:rFonts w:ascii="Calibri Light" w:hAnsi="Calibri Light" w:cs="Calibri Light"/>
          <w:color w:val="000000"/>
          <w:szCs w:val="27"/>
        </w:rPr>
        <w:t>“</w:t>
      </w:r>
      <w:r w:rsidRPr="00D60887">
        <w:rPr>
          <w:rFonts w:asciiTheme="majorHAnsi" w:hAnsiTheme="majorHAnsi" w:cstheme="majorHAnsi"/>
          <w:color w:val="000000"/>
          <w:szCs w:val="27"/>
        </w:rPr>
        <w:t>That behaviour</w:t>
      </w:r>
      <w:r w:rsidRPr="00D60887">
        <w:rPr>
          <w:rFonts w:ascii="Calibri Light" w:hAnsi="Calibri Light" w:cs="Calibri Light"/>
          <w:color w:val="000000"/>
          <w:szCs w:val="27"/>
        </w:rPr>
        <w:t>’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s not acceptable </w:t>
      </w:r>
      <w:r w:rsidRPr="00D60887">
        <w:rPr>
          <w:rFonts w:ascii="Calibri Light" w:hAnsi="Calibri Light" w:cs="Calibri Light"/>
          <w:color w:val="000000"/>
          <w:szCs w:val="27"/>
        </w:rPr>
        <w:t>—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and you</w:t>
      </w:r>
      <w:r w:rsidRPr="00D60887">
        <w:rPr>
          <w:rFonts w:ascii="Calibri Light" w:hAnsi="Calibri Light" w:cs="Calibri Light"/>
          <w:color w:val="000000"/>
          <w:szCs w:val="27"/>
        </w:rPr>
        <w:t>’</w:t>
      </w:r>
      <w:r w:rsidRPr="00D60887">
        <w:rPr>
          <w:rFonts w:asciiTheme="majorHAnsi" w:hAnsiTheme="majorHAnsi" w:cstheme="majorHAnsi"/>
          <w:color w:val="000000"/>
          <w:szCs w:val="27"/>
        </w:rPr>
        <w:t>re better than that.</w:t>
      </w:r>
      <w:r w:rsidRPr="00D60887">
        <w:rPr>
          <w:rFonts w:ascii="Calibri Light" w:hAnsi="Calibri Light" w:cs="Calibri Light"/>
          <w:color w:val="000000"/>
          <w:szCs w:val="27"/>
        </w:rPr>
        <w:t>”</w:t>
      </w:r>
    </w:p>
    <w:p w14:paraId="3CC9E485" w14:textId="77777777" w:rsidR="00D60887" w:rsidRPr="00D60887" w:rsidRDefault="00D60887" w:rsidP="00D60887">
      <w:pPr>
        <w:pStyle w:val="NormalWeb"/>
        <w:rPr>
          <w:rFonts w:asciiTheme="majorHAnsi" w:hAnsiTheme="majorHAnsi" w:cstheme="majorHAnsi"/>
          <w:color w:val="000000"/>
          <w:szCs w:val="27"/>
        </w:rPr>
      </w:pPr>
      <w:r w:rsidRPr="00D60887">
        <w:rPr>
          <w:rFonts w:ascii="Segoe UI Emoji" w:hAnsi="Segoe UI Emoji" w:cs="Segoe UI Emoji"/>
          <w:color w:val="000000"/>
          <w:szCs w:val="27"/>
        </w:rPr>
        <w:t>✅</w:t>
      </w:r>
      <w:r w:rsidRPr="00D60887">
        <w:rPr>
          <w:rFonts w:asciiTheme="majorHAnsi" w:hAnsiTheme="majorHAnsi" w:cstheme="majorHAnsi"/>
          <w:color w:val="000000"/>
          <w:szCs w:val="27"/>
        </w:rPr>
        <w:t xml:space="preserve"> Have Restorative Conversations After a conflict or incident, take a moment to check in with the student. Repairing the relationship matters just as much as </w:t>
      </w:r>
      <w:bookmarkStart w:id="0" w:name="_GoBack"/>
      <w:bookmarkEnd w:id="0"/>
      <w:r w:rsidRPr="00D60887">
        <w:rPr>
          <w:rFonts w:asciiTheme="majorHAnsi" w:hAnsiTheme="majorHAnsi" w:cstheme="majorHAnsi"/>
          <w:color w:val="000000"/>
          <w:szCs w:val="27"/>
        </w:rPr>
        <w:t>correcting the behaviour.</w:t>
      </w:r>
    </w:p>
    <w:p w14:paraId="02D378C2" w14:textId="77777777" w:rsidR="000D090A" w:rsidRDefault="000D090A" w:rsidP="00CE3389"/>
    <w:sectPr w:rsidR="000D090A" w:rsidSect="00CE3389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67B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D44BD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379F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0A"/>
    <w:rsid w:val="00020A2B"/>
    <w:rsid w:val="000269F3"/>
    <w:rsid w:val="000554B1"/>
    <w:rsid w:val="000D090A"/>
    <w:rsid w:val="00106F85"/>
    <w:rsid w:val="00117B75"/>
    <w:rsid w:val="00132C0E"/>
    <w:rsid w:val="00133F11"/>
    <w:rsid w:val="002037FD"/>
    <w:rsid w:val="00214DD6"/>
    <w:rsid w:val="002A78F5"/>
    <w:rsid w:val="002C584B"/>
    <w:rsid w:val="00307527"/>
    <w:rsid w:val="00314E9B"/>
    <w:rsid w:val="0032377F"/>
    <w:rsid w:val="00361B64"/>
    <w:rsid w:val="00386C87"/>
    <w:rsid w:val="004237FE"/>
    <w:rsid w:val="00443604"/>
    <w:rsid w:val="004A4732"/>
    <w:rsid w:val="004F1706"/>
    <w:rsid w:val="00513441"/>
    <w:rsid w:val="00527126"/>
    <w:rsid w:val="005302AA"/>
    <w:rsid w:val="0055323D"/>
    <w:rsid w:val="00566797"/>
    <w:rsid w:val="00577501"/>
    <w:rsid w:val="00580D09"/>
    <w:rsid w:val="005850E8"/>
    <w:rsid w:val="005B4E13"/>
    <w:rsid w:val="005E27AB"/>
    <w:rsid w:val="005F0C69"/>
    <w:rsid w:val="0063376B"/>
    <w:rsid w:val="00665C0F"/>
    <w:rsid w:val="00681482"/>
    <w:rsid w:val="006A3779"/>
    <w:rsid w:val="006F5198"/>
    <w:rsid w:val="00703A11"/>
    <w:rsid w:val="00716EB8"/>
    <w:rsid w:val="007820E7"/>
    <w:rsid w:val="00785E81"/>
    <w:rsid w:val="007B34CD"/>
    <w:rsid w:val="007E6E3E"/>
    <w:rsid w:val="00811BA7"/>
    <w:rsid w:val="00825A65"/>
    <w:rsid w:val="00830742"/>
    <w:rsid w:val="00841DED"/>
    <w:rsid w:val="008B2637"/>
    <w:rsid w:val="008F7686"/>
    <w:rsid w:val="009477E3"/>
    <w:rsid w:val="009904B4"/>
    <w:rsid w:val="009C7860"/>
    <w:rsid w:val="009E05D5"/>
    <w:rsid w:val="00A13937"/>
    <w:rsid w:val="00A33C81"/>
    <w:rsid w:val="00B80313"/>
    <w:rsid w:val="00BB6122"/>
    <w:rsid w:val="00C43E28"/>
    <w:rsid w:val="00C64D33"/>
    <w:rsid w:val="00C72C75"/>
    <w:rsid w:val="00CA7491"/>
    <w:rsid w:val="00CC0962"/>
    <w:rsid w:val="00CC7FEA"/>
    <w:rsid w:val="00CE3389"/>
    <w:rsid w:val="00CF11D5"/>
    <w:rsid w:val="00D02CCC"/>
    <w:rsid w:val="00D175D7"/>
    <w:rsid w:val="00D60887"/>
    <w:rsid w:val="00D962B7"/>
    <w:rsid w:val="00DC5989"/>
    <w:rsid w:val="00DD7263"/>
    <w:rsid w:val="00DE55CD"/>
    <w:rsid w:val="00DF55E4"/>
    <w:rsid w:val="00E617A6"/>
    <w:rsid w:val="00E90261"/>
    <w:rsid w:val="00E96199"/>
    <w:rsid w:val="00EC0FFE"/>
    <w:rsid w:val="00EF2011"/>
    <w:rsid w:val="00F15F8D"/>
    <w:rsid w:val="00F3099E"/>
    <w:rsid w:val="00FD07E8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1196"/>
  <w15:chartTrackingRefBased/>
  <w15:docId w15:val="{22D9A29C-AA13-4488-9C79-0BC58ABE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79"/>
    <w:pPr>
      <w:spacing w:before="240" w:after="24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jk79v9jq5">
    <w:name w:val="markjk79v9jq5"/>
    <w:basedOn w:val="DefaultParagraphFont"/>
    <w:rsid w:val="009C7860"/>
  </w:style>
  <w:style w:type="paragraph" w:styleId="ListParagraph">
    <w:name w:val="List Paragraph"/>
    <w:basedOn w:val="Normal"/>
    <w:uiPriority w:val="34"/>
    <w:qFormat/>
    <w:rsid w:val="00830742"/>
    <w:pPr>
      <w:ind w:left="720"/>
      <w:contextualSpacing/>
    </w:pPr>
  </w:style>
  <w:style w:type="table" w:styleId="TableGrid">
    <w:name w:val="Table Grid"/>
    <w:basedOn w:val="TableNormal"/>
    <w:uiPriority w:val="39"/>
    <w:rsid w:val="0011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9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8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Roche</dc:creator>
  <cp:keywords/>
  <dc:description/>
  <cp:lastModifiedBy>Denis Keating</cp:lastModifiedBy>
  <cp:revision>2</cp:revision>
  <cp:lastPrinted>2022-09-26T12:41:00Z</cp:lastPrinted>
  <dcterms:created xsi:type="dcterms:W3CDTF">2025-05-13T14:59:00Z</dcterms:created>
  <dcterms:modified xsi:type="dcterms:W3CDTF">2025-05-13T14:59:00Z</dcterms:modified>
</cp:coreProperties>
</file>